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828800" cy="1513907"/>
            <wp:docPr id="1" name="Picture 1"/>
            <wp:cNvGraphicFramePr>
              <a:graphicFrameLocks noChangeAspect="1"/>
            </wp:cNvGraphicFramePr>
            <a:graphic>
              <a:graphicData uri="http://schemas.openxmlformats.org/drawingml/2006/picture">
                <pic:pic>
                  <pic:nvPicPr>
                    <pic:cNvPr id="0" name="ryedore_logo.png"/>
                    <pic:cNvPicPr/>
                  </pic:nvPicPr>
                  <pic:blipFill>
                    <a:blip r:embed="rId9"/>
                    <a:stretch>
                      <a:fillRect/>
                    </a:stretch>
                  </pic:blipFill>
                  <pic:spPr>
                    <a:xfrm>
                      <a:off x="0" y="0"/>
                      <a:ext cx="1828800" cy="1513907"/>
                    </a:xfrm>
                    <a:prstGeom prst="rect"/>
                  </pic:spPr>
                </pic:pic>
              </a:graphicData>
            </a:graphic>
          </wp:inline>
        </w:drawing>
      </w:r>
    </w:p>
    <w:p>
      <w:pPr>
        <w:jc w:val="center"/>
      </w:pPr>
      <w:r>
        <w:rPr>
          <w:b/>
          <w:i w:val="0"/>
          <w:color w:val="0A1A3D"/>
          <w:sz w:val="56"/>
        </w:rPr>
        <w:t>RYEDORE</w:t>
      </w:r>
    </w:p>
    <w:p>
      <w:pPr>
        <w:jc w:val="center"/>
      </w:pPr>
      <w:r>
        <w:rPr>
          <w:b/>
          <w:i w:val="0"/>
          <w:color w:val="32425C"/>
          <w:sz w:val="36"/>
        </w:rPr>
        <w:t>WHITEPAPER</w:t>
      </w:r>
    </w:p>
    <w:p/>
    <w:p>
      <w:pPr>
        <w:jc w:val="center"/>
      </w:pPr>
      <w:r>
        <w:rPr>
          <w:b/>
          <w:i w:val="0"/>
          <w:color w:val="0A1A3D"/>
          <w:sz w:val="40"/>
        </w:rPr>
        <w:t>Industrial AI for Operations Reliability:</w:t>
      </w:r>
    </w:p>
    <w:p>
      <w:pPr>
        <w:jc w:val="center"/>
      </w:pPr>
      <w:r>
        <w:rPr>
          <w:b/>
          <w:i w:val="0"/>
          <w:color w:val="0A1A3D"/>
          <w:sz w:val="40"/>
        </w:rPr>
        <w:t>Predict, Detect, Explain, Recommend.</w:t>
      </w:r>
    </w:p>
    <w:p/>
    <w:p>
      <w:pPr>
        <w:jc w:val="center"/>
      </w:pPr>
      <w:r>
        <w:rPr>
          <w:b w:val="0"/>
          <w:i/>
          <w:color w:val="C4994A"/>
          <w:sz w:val="28"/>
        </w:rPr>
        <w:t>Ryedore Adaptive Industrial AI Platform</w:t>
      </w:r>
    </w:p>
    <w:p/>
    <w:p/>
    <w:p>
      <w:pPr>
        <w:jc w:val="center"/>
      </w:pPr>
      <w:r>
        <w:rPr>
          <w:b w:val="0"/>
          <w:i w:val="0"/>
          <w:color w:val="6B7280"/>
          <w:sz w:val="20"/>
        </w:rPr>
        <w:t>Document Version: 3.4</w:t>
      </w:r>
    </w:p>
    <w:p>
      <w:pPr>
        <w:jc w:val="center"/>
      </w:pPr>
      <w:r>
        <w:rPr>
          <w:b w:val="0"/>
          <w:i w:val="0"/>
          <w:color w:val="6B7280"/>
          <w:sz w:val="20"/>
        </w:rPr>
        <w:t>Published: September 2026</w:t>
      </w:r>
    </w:p>
    <w:p>
      <w:r>
        <w:br w:type="page"/>
      </w:r>
    </w:p>
    <w:p>
      <w:pPr>
        <w:pStyle w:val="Heading1"/>
      </w:pPr>
      <w:r>
        <w:rPr>
          <w:b/>
          <w:color w:val="0A1A3D"/>
        </w:rPr>
        <w:t>Abstract</w:t>
      </w:r>
    </w:p>
    <w:p>
      <w:r>
        <w:rPr>
          <w:b w:val="0"/>
          <w:i w:val="0"/>
          <w:color w:val="32425C"/>
          <w:sz w:val="22"/>
        </w:rPr>
        <w:t>Industrial operations generate vast volumes of operational data that should make equipment more reliable, processes more efficient, and decisions more informed. Yet most industrial AI deployments stall after the pilot. The Ryedore Adaptive Industrial AI Platform addresses this by combining physics-aware predictions, continuous adaptation, on-premises sovereignty, and a conversational operations assistant — delivered as a turnkey platform that works across any industry with operational data.</w:t>
      </w:r>
    </w:p>
    <w:p>
      <w:r>
        <w:rPr>
          <w:b w:val="0"/>
          <w:i w:val="0"/>
          <w:color w:val="32425C"/>
          <w:sz w:val="22"/>
        </w:rPr>
        <w:t>This whitepaper describes the operational challenges Ryedore addresses, the capabilities the platform delivers, the commercial model that makes deployment economically rational for mid-market and large industrial operators, and the engagement model that takes customers from contract to continuous value.</w:t>
      </w:r>
    </w:p>
    <w:p>
      <w:pPr>
        <w:pStyle w:val="Heading1"/>
      </w:pPr>
      <w:r>
        <w:rPr>
          <w:b/>
          <w:color w:val="0A1A3D"/>
        </w:rPr>
        <w:t>1. The Industrial AI Problem</w:t>
      </w:r>
    </w:p>
    <w:p>
      <w:pPr>
        <w:pStyle w:val="Heading2"/>
      </w:pPr>
      <w:r>
        <w:rPr>
          <w:b/>
          <w:color w:val="0A1A3D"/>
        </w:rPr>
        <w:t>1.1 Unplanned Downtime Is Expensive — Across Every Industry</w:t>
      </w:r>
    </w:p>
    <w:p>
      <w:r>
        <w:rPr>
          <w:b w:val="0"/>
          <w:i w:val="0"/>
          <w:color w:val="32425C"/>
          <w:sz w:val="22"/>
        </w:rPr>
        <w:t>Operators across every industry run mission-critical equipment and systems where a single hour of unplanned downtime costs hundreds of thousands to tens of millions of dollars:</w:t>
      </w:r>
    </w:p>
    <w:p>
      <w:pPr>
        <w:pStyle w:val="ListBullet"/>
      </w:pPr>
      <w:r>
        <w:rPr>
          <w:color w:val="32425C"/>
          <w:sz w:val="22"/>
        </w:rPr>
        <w:t>Oil &amp; gas (offshore): $500K – $1M per hour</w:t>
      </w:r>
    </w:p>
    <w:p>
      <w:pPr>
        <w:pStyle w:val="ListBullet"/>
      </w:pPr>
      <w:r>
        <w:rPr>
          <w:color w:val="32425C"/>
          <w:sz w:val="22"/>
        </w:rPr>
        <w:t>Datacenter (major outage): $9M average per incident</w:t>
      </w:r>
    </w:p>
    <w:p>
      <w:pPr>
        <w:pStyle w:val="ListBullet"/>
      </w:pPr>
      <w:r>
        <w:rPr>
          <w:color w:val="32425C"/>
          <w:sz w:val="22"/>
        </w:rPr>
        <w:t>Power generation (forced outage): $250K – $500K per hour</w:t>
      </w:r>
    </w:p>
    <w:p>
      <w:pPr>
        <w:pStyle w:val="ListBullet"/>
      </w:pPr>
      <w:r>
        <w:rPr>
          <w:color w:val="32425C"/>
          <w:sz w:val="22"/>
        </w:rPr>
        <w:t>Semiconductor (lithography downtime): $100K – $250K per hour</w:t>
      </w:r>
    </w:p>
    <w:p>
      <w:pPr>
        <w:pStyle w:val="ListBullet"/>
      </w:pPr>
      <w:r>
        <w:rPr>
          <w:color w:val="32425C"/>
          <w:sz w:val="22"/>
        </w:rPr>
        <w:t>Hospital OR / ICU: $25K – $200K per hour, plus patient-safety stakes</w:t>
      </w:r>
    </w:p>
    <w:p>
      <w:pPr>
        <w:pStyle w:val="ListBullet"/>
      </w:pPr>
      <w:r>
        <w:rPr>
          <w:color w:val="32425C"/>
          <w:sz w:val="22"/>
        </w:rPr>
        <w:t>Continuous-process plants (chemicals): $100K – $250K per hour, plus restart costs</w:t>
      </w:r>
    </w:p>
    <w:p>
      <w:pPr>
        <w:pStyle w:val="ListBullet"/>
      </w:pPr>
      <w:r>
        <w:rPr>
          <w:color w:val="32425C"/>
          <w:sz w:val="22"/>
        </w:rPr>
        <w:t>Pharmaceutical manufacturing: Lot-loss exposure of $500K – $5M+ per batch</w:t>
      </w:r>
    </w:p>
    <w:p>
      <w:pPr>
        <w:pStyle w:val="ListBullet"/>
      </w:pPr>
      <w:r>
        <w:rPr>
          <w:color w:val="32425C"/>
          <w:sz w:val="22"/>
        </w:rPr>
        <w:t>Food &amp; beverage continuous lines: $50K – $150K per hour</w:t>
      </w:r>
    </w:p>
    <w:p>
      <w:pPr>
        <w:pStyle w:val="ListBullet"/>
      </w:pPr>
      <w:r>
        <w:rPr>
          <w:color w:val="32425C"/>
          <w:sz w:val="22"/>
        </w:rPr>
        <w:t>Aerospace MRO (AOG): $220K+ per aircraft per day</w:t>
      </w:r>
    </w:p>
    <w:p>
      <w:pPr>
        <w:pStyle w:val="ListBullet"/>
      </w:pPr>
      <w:r>
        <w:rPr>
          <w:color w:val="32425C"/>
          <w:sz w:val="22"/>
        </w:rPr>
        <w:t>Rail / transportation: Cascading network delays measured in $M</w:t>
      </w:r>
    </w:p>
    <w:p>
      <w:r>
        <w:rPr>
          <w:b w:val="0"/>
          <w:i/>
          <w:color w:val="6B7280"/>
          <w:sz w:val="20"/>
        </w:rPr>
        <w:t>STATUS: the figures above are published third-party industry estimates, not Ryedore measurements — shown to size the problem, never claimed as Ryedore outcomes. The pattern is universal: downtime is expensive, predictable failures cause most of it, and the data needed to anticipate failures already exists in operator systems.</w:t>
      </w:r>
    </w:p>
    <w:p>
      <w:pPr>
        <w:pStyle w:val="Heading2"/>
      </w:pPr>
      <w:r>
        <w:rPr>
          <w:b/>
          <w:color w:val="0A1A3D"/>
        </w:rPr>
        <w:t>1.2 Predictive Maintenance Doesn't Scale</w:t>
      </w:r>
    </w:p>
    <w:p>
      <w:r>
        <w:rPr>
          <w:b w:val="0"/>
          <w:i w:val="0"/>
          <w:color w:val="32425C"/>
          <w:sz w:val="22"/>
        </w:rPr>
        <w:t>Predictive maintenance pilots routinely demonstrate value on a handful of critical assets. Yet scaling that value across hundreds or thousands of assets across multiple sites is where most programs stall. The cause is rarely the AI itself — it is the friction of integration, the cost of generic-ML retraining, the absence of operator-trusted explanations, and the operational overhead of point solutions stitched together.</w:t>
      </w:r>
    </w:p>
    <w:p>
      <w:pPr>
        <w:pStyle w:val="Heading2"/>
      </w:pPr>
      <w:r>
        <w:rPr>
          <w:b/>
          <w:color w:val="0A1A3D"/>
        </w:rPr>
        <w:t>1.3 Generic ML Doesn't Earn Operator Trust</w:t>
      </w:r>
    </w:p>
    <w:p>
      <w:r>
        <w:rPr>
          <w:b w:val="0"/>
          <w:i w:val="0"/>
          <w:color w:val="32425C"/>
          <w:sz w:val="22"/>
        </w:rPr>
        <w:t>Operators have responsibility, accountability, and judgment honed over decades. They will not act on AI outputs they cannot explain or that violate their operational intuition. Generic machine learning learns patterns from historical data — useful, but insufficient. Industrial AI must respect the physical laws governing equipment behavior, and must justify every recommendation with cited evidence.</w:t>
      </w:r>
    </w:p>
    <w:p>
      <w:pPr>
        <w:pStyle w:val="Heading2"/>
      </w:pPr>
      <w:r>
        <w:rPr>
          <w:b/>
          <w:color w:val="0A1A3D"/>
        </w:rPr>
        <w:t>1.4 Cloud-Only Doesn't Match Industrial Reality</w:t>
      </w:r>
    </w:p>
    <w:p>
      <w:r>
        <w:rPr>
          <w:b w:val="0"/>
          <w:i w:val="0"/>
          <w:color w:val="32425C"/>
          <w:sz w:val="22"/>
        </w:rPr>
        <w:t>Operational data — process telemetry, sensor streams, control system events — is among the most sensitive data an industrial operator holds. Defense contractors, nuclear facilities, and increasingly all regulated industrial operators face hard requirements that operational data remain on-premises. Cloud-only AI platforms cannot meet this requirement.</w:t>
      </w:r>
    </w:p>
    <w:p>
      <w:pPr>
        <w:pStyle w:val="Heading2"/>
      </w:pPr>
      <w:r>
        <w:rPr>
          <w:b/>
          <w:color w:val="0A1A3D"/>
        </w:rPr>
        <w:t>1.5 The Wrong Price Point</w:t>
      </w:r>
    </w:p>
    <w:p>
      <w:r>
        <w:rPr>
          <w:b w:val="0"/>
          <w:i w:val="0"/>
          <w:color w:val="32425C"/>
          <w:sz w:val="22"/>
        </w:rPr>
        <w:t>Tier-1 enterprise AI platforms target the largest Fortune 500 operators with multi-million-dollar engagement floors that price out the $1B – $10B revenue industrial mid-market. Legacy CMMS + bolt-on AI stacks reach down to mid-market budgets but lack the platform breadth and adaptive capabilities that justify the deployment effort. The market needs a platform that bridges this gap.</w:t>
      </w:r>
    </w:p>
    <w:p>
      <w:pPr>
        <w:pStyle w:val="Heading1"/>
      </w:pPr>
      <w:r>
        <w:rPr>
          <w:b/>
          <w:color w:val="0A1A3D"/>
        </w:rPr>
        <w:t>2. The Ryedore Adaptive Industrial AI Platform</w:t>
      </w:r>
    </w:p>
    <w:p>
      <w:r>
        <w:rPr>
          <w:b w:val="0"/>
          <w:i w:val="0"/>
          <w:color w:val="32425C"/>
          <w:sz w:val="22"/>
        </w:rPr>
        <w:t>Ryedore delivers a turnkey adaptive industrial AI platform deployed on customer infrastructure. The platform offers four integrated capabilities — Predict, Detect, Explain, Recommend — across any industry with operational data.</w:t>
      </w:r>
    </w:p>
    <w:p>
      <w:pPr>
        <w:ind w:left="432" w:right="432"/>
      </w:pPr>
      <w:r>
        <w:rPr>
          <w:b/>
          <w:i/>
          <w:color w:val="C4994A"/>
          <w:sz w:val="26"/>
        </w:rPr>
        <w:t>"Predict the failure. Plan the fix. Prove every prediction."</w:t>
      </w:r>
    </w:p>
    <w:p>
      <w:pPr>
        <w:pStyle w:val="Heading2"/>
      </w:pPr>
      <w:r>
        <w:rPr>
          <w:b/>
          <w:color w:val="0A1A3D"/>
        </w:rPr>
        <w:t>2.1 Four Integrated Capabilities</w:t>
      </w:r>
    </w:p>
    <w:p>
      <w:r>
        <w:rPr>
          <w:b/>
          <w:i w:val="0"/>
          <w:color w:val="0A1A3D"/>
          <w:sz w:val="26"/>
        </w:rPr>
        <w:t>Predict</w:t>
      </w:r>
    </w:p>
    <w:p>
      <w:r>
        <w:rPr>
          <w:b w:val="0"/>
          <w:i w:val="0"/>
          <w:color w:val="32425C"/>
          <w:sz w:val="22"/>
        </w:rPr>
        <w:t>Forecast equipment behavior, remaining useful life, anomaly emergence, and operational outcomes. Predictions arrive with specific timing windows and confidence indicators.</w:t>
      </w:r>
    </w:p>
    <w:p>
      <w:r>
        <w:rPr>
          <w:b w:val="0"/>
          <w:i w:val="0"/>
          <w:color w:val="32425C"/>
          <w:sz w:val="22"/>
        </w:rPr>
      </w:r>
    </w:p>
    <w:p>
      <w:r>
        <w:rPr>
          <w:b/>
          <w:i w:val="0"/>
          <w:color w:val="0A1A3D"/>
          <w:sz w:val="26"/>
        </w:rPr>
        <w:t>Detect</w:t>
      </w:r>
    </w:p>
    <w:p>
      <w:r>
        <w:rPr>
          <w:b w:val="0"/>
          <w:i w:val="0"/>
          <w:color w:val="32425C"/>
          <w:sz w:val="22"/>
        </w:rPr>
        <w:t>Catch subtle pattern shifts — drift, degradation, contamination, parameter excursions — that precede failures and remain invisible to threshold-based dashboards.</w:t>
      </w:r>
    </w:p>
    <w:p>
      <w:r>
        <w:rPr>
          <w:b w:val="0"/>
          <w:i w:val="0"/>
          <w:color w:val="32425C"/>
          <w:sz w:val="22"/>
        </w:rPr>
      </w:r>
    </w:p>
    <w:p>
      <w:r>
        <w:rPr>
          <w:b/>
          <w:i w:val="0"/>
          <w:color w:val="0A1A3D"/>
          <w:sz w:val="26"/>
        </w:rPr>
        <w:t>Explain</w:t>
      </w:r>
    </w:p>
    <w:p>
      <w:r>
        <w:rPr>
          <w:b w:val="0"/>
          <w:i w:val="0"/>
          <w:color w:val="32425C"/>
          <w:sz w:val="22"/>
        </w:rPr>
        <w:t>Provide auditable reasoning for every prediction and recommendation. Cited evidence, decision trail, confidence basis — usable by operators and auditors alike.</w:t>
      </w:r>
    </w:p>
    <w:p>
      <w:r>
        <w:rPr>
          <w:b w:val="0"/>
          <w:i w:val="0"/>
          <w:color w:val="32425C"/>
          <w:sz w:val="22"/>
        </w:rPr>
      </w:r>
    </w:p>
    <w:p>
      <w:r>
        <w:rPr>
          <w:b/>
          <w:i w:val="0"/>
          <w:color w:val="0A1A3D"/>
          <w:sz w:val="26"/>
        </w:rPr>
        <w:t>Recommend</w:t>
      </w:r>
    </w:p>
    <w:p>
      <w:r>
        <w:rPr>
          <w:b w:val="0"/>
          <w:i w:val="0"/>
          <w:color w:val="32425C"/>
          <w:sz w:val="22"/>
        </w:rPr>
        <w:t>Suggest actions with cost justification, scheduling windows, and confidence — directly usable by your maintenance and operations teams.</w:t>
      </w:r>
    </w:p>
    <w:p>
      <w:r>
        <w:rPr>
          <w:b w:val="0"/>
          <w:i w:val="0"/>
          <w:color w:val="32425C"/>
          <w:sz w:val="22"/>
        </w:rPr>
      </w:r>
    </w:p>
    <w:p>
      <w:pPr>
        <w:pStyle w:val="Heading2"/>
      </w:pPr>
      <w:r>
        <w:rPr>
          <w:b/>
          <w:color w:val="0A1A3D"/>
        </w:rPr>
        <w:t>2.2 Ryekronix — Your Operations Assistant</w:t>
      </w:r>
    </w:p>
    <w:p>
      <w:r>
        <w:rPr>
          <w:b w:val="0"/>
          <w:i w:val="0"/>
          <w:color w:val="32425C"/>
          <w:sz w:val="22"/>
        </w:rPr>
        <w:t>Built into the platform is Ryekronix, an intelligent operations assistant your team interacts with in plain English. Ask about asset health, recommended maintenance windows, root causes of recent failures, or optimal operating parameters. Receive grounded answers with cited evidence from your fleet history. Ryekronix transforms the platform from a dashboard your team must learn to use into a colleague they can simply talk to.</w:t>
      </w:r>
    </w:p>
    <w:p>
      <w:r>
        <w:rPr>
          <w:b/>
          <w:i w:val="0"/>
          <w:color w:val="0A1A3D"/>
          <w:sz w:val="22"/>
        </w:rPr>
        <w:t>What Ryekronix can never do — by design:</w:t>
      </w:r>
    </w:p>
    <w:p>
      <w:pPr>
        <w:pStyle w:val="ListBullet"/>
      </w:pPr>
      <w:r>
        <w:rPr>
          <w:color w:val="32425C"/>
          <w:sz w:val="22"/>
        </w:rPr>
        <w:t>Only two action types exist in the entire system: dispatching a maintenance work-order draft, and triggering a model retrain. There is no code path for any other action — no set-point changes, no control-system writes, ever.</w:t>
      </w:r>
    </w:p>
    <w:p>
      <w:pPr>
        <w:pStyle w:val="ListBullet"/>
      </w:pPr>
      <w:r>
        <w:rPr>
          <w:color w:val="32425C"/>
          <w:sz w:val="22"/>
        </w:rPr>
        <w:t>Neither action fires without passing six independent checks — role, policy, payload, physics limits, blast radius, duplicate — followed by explicit human approval. Refusals are logged, not hidden.</w:t>
      </w:r>
    </w:p>
    <w:p>
      <w:pPr>
        <w:pStyle w:val="ListBullet"/>
      </w:pPr>
      <w:r>
        <w:rPr>
          <w:color w:val="32425C"/>
          <w:sz w:val="22"/>
        </w:rPr>
        <w:t>Aerospace, defence and nuclear deployments run at a manual-approval floor: Ryekronix explains and recommends; a certified person decides, every time, with no override available.</w:t>
      </w:r>
    </w:p>
    <w:p>
      <w:r>
        <w:rPr>
          <w:b w:val="0"/>
          <w:i/>
          <w:color w:val="6B7280"/>
          <w:sz w:val="20"/>
        </w:rPr>
        <w:t>For regulated operators this containment architecture is the point: an assistant whose capabilities are bounded in code, not in policy documents.</w:t>
      </w:r>
    </w:p>
    <w:p>
      <w:pPr>
        <w:pStyle w:val="Heading2"/>
      </w:pPr>
      <w:r>
        <w:rPr>
          <w:b/>
          <w:color w:val="0A1A3D"/>
        </w:rPr>
        <w:t>2.3 Continuous Adaptation</w:t>
      </w:r>
    </w:p>
    <w:p>
      <w:r>
        <w:rPr>
          <w:b w:val="0"/>
          <w:i w:val="0"/>
          <w:color w:val="32425C"/>
          <w:sz w:val="22"/>
        </w:rPr>
        <w:t>Industrial operations change. Equipment ages. Processes evolve. Operating conditions shift. The platform's models keep learning from your live operations as these changes happen, without losing previously learned patterns. There are no quarterly retraining projects. There is no extraction of your operational data for off-site training. The platform improves continuously while your data remains on your infrastructure.</w:t>
      </w:r>
    </w:p>
    <w:p>
      <w:pPr>
        <w:pStyle w:val="Heading2"/>
      </w:pPr>
      <w:r>
        <w:rPr>
          <w:b/>
          <w:color w:val="0A1A3D"/>
        </w:rPr>
        <w:t>2.4 Physics-Aware Predictions</w:t>
      </w:r>
    </w:p>
    <w:p>
      <w:r>
        <w:rPr>
          <w:b w:val="0"/>
          <w:i w:val="0"/>
          <w:color w:val="32425C"/>
          <w:sz w:val="22"/>
        </w:rPr>
        <w:t>Predictions respect the physical laws governing your equipment. Temperatures, pressures, flow rates, power draw — the platform forecasts outcomes that could actually happen, not statistical artifacts of generic machine learning. This is the foundation of operator trust: every output is operationally plausible.</w:t>
      </w:r>
    </w:p>
    <w:p>
      <w:pPr>
        <w:pStyle w:val="Heading2"/>
      </w:pPr>
      <w:r>
        <w:rPr>
          <w:b/>
          <w:color w:val="0A1A3D"/>
        </w:rPr>
        <w:t>2.5 On-Premises Data Sovereignty</w:t>
      </w:r>
    </w:p>
    <w:p>
      <w:r>
        <w:rPr>
          <w:b w:val="0"/>
          <w:i w:val="0"/>
          <w:color w:val="32425C"/>
          <w:sz w:val="22"/>
        </w:rPr>
        <w:t>The platform deploys on your infrastructure. All operational telemetry, all models, all decisions stay within your firewall. No data leaves your control — not for training, not for run-time, not for support. Data sovereignty is verified by design, not by policy.</w:t>
      </w:r>
    </w:p>
    <w:p>
      <w:pPr>
        <w:pStyle w:val="Heading2"/>
      </w:pPr>
      <w:r>
        <w:rPr>
          <w:b/>
          <w:color w:val="0A1A3D"/>
        </w:rPr>
        <w:t>2.6 Time-to-Value: Calibration, Not Construction</w:t>
      </w:r>
    </w:p>
    <w:p>
      <w:pPr>
        <w:ind w:left="432" w:right="432"/>
      </w:pPr>
      <w:r>
        <w:rPr>
          <w:b/>
          <w:i/>
          <w:color w:val="C4994A"/>
          <w:sz w:val="26"/>
        </w:rPr>
        <w:t>"Deployment is calibration, not construction."</w:t>
      </w:r>
    </w:p>
    <w:p>
      <w:r>
        <w:rPr>
          <w:b w:val="0"/>
          <w:i w:val="0"/>
          <w:color w:val="32425C"/>
          <w:sz w:val="22"/>
        </w:rPr>
        <w:t>Most enterprise AI platforms spend months between contract signing and the first prediction an operator acts on — data engineering, schema mapping, model selection, training cycles, tuning. Ryedore's cross-industry model is already built before your engagement begins: your historian data calibrates an existing capability rather than training a blank slate, so the platform begins producing predictions as soon as history is ingested and calibrated.</w:t>
      </w:r>
    </w:p>
    <w:p>
      <w:r>
        <w:rPr>
          <w:b w:val="0"/>
          <w:i w:val="0"/>
          <w:color w:val="32425C"/>
          <w:sz w:val="22"/>
        </w:rPr>
        <w:t>In keeping with Ryedore's measurement discipline, we publish a measured time-to-first-trusted-prediction figure from field deployments rather than promising a number in advance — when that figure appears, it will carry the same provenance labeling as every other number Ryedore publishes. (STATUS: MEASUREMENT IN PROGRESS)</w:t>
      </w:r>
    </w:p>
    <w:p>
      <w:r>
        <w:rPr>
          <w:b w:val="0"/>
          <w:i w:val="0"/>
          <w:color w:val="32425C"/>
          <w:sz w:val="22"/>
        </w:rPr>
        <w:t>The commercial consequence is direct: value demonstrated from live operations early in the engagement, executive sponsorship that survives the discovery phase, and scale-up decisions made from demonstrated results rather than months-old projections.</w:t>
      </w:r>
    </w:p>
    <w:p>
      <w:pPr>
        <w:pStyle w:val="Heading2"/>
      </w:pPr>
      <w:r>
        <w:rPr>
          <w:b/>
          <w:color w:val="0A1A3D"/>
        </w:rPr>
        <w:t>2.7 Verifiable by Design</w:t>
      </w:r>
    </w:p>
    <w:p>
      <w:r>
        <w:rPr>
          <w:b w:val="0"/>
          <w:i w:val="0"/>
          <w:color w:val="32425C"/>
          <w:sz w:val="22"/>
        </w:rPr>
        <w:t>Ryedore treats verifiability as a product capability, not a marketing posture. Every material claim the company makes is designed to be checked by the reader:</w:t>
      </w:r>
    </w:p>
    <w:p>
      <w:pPr>
        <w:pStyle w:val="ListBullet"/>
      </w:pPr>
      <w:r>
        <w:rPr>
          <w:color w:val="32425C"/>
          <w:sz w:val="22"/>
        </w:rPr>
        <w:t>Signed public benchmarks — results on named public datasets are published cryptographically signed (21 per-task reports, RSA-PSS public key fingerprint 2bc036d1, re-verified 2026-09-01) — including the datasets where published research still leads. Losses are part of the download, not a footnote.</w:t>
      </w:r>
    </w:p>
    <w:p>
      <w:pPr>
        <w:pStyle w:val="ListBullet"/>
      </w:pPr>
      <w:r>
        <w:rPr>
          <w:color w:val="32425C"/>
          <w:sz w:val="22"/>
        </w:rPr>
        <w:t>A self-serve audit — any buyer can download the evidence bundle, verify its integrity and authenticity offline in four commands, reproduce the published numbers with the open harness, and run the same tests on their own data before any commercial conversation.</w:t>
      </w:r>
    </w:p>
    <w:p>
      <w:pPr>
        <w:pStyle w:val="ListBullet"/>
      </w:pPr>
      <w:r>
        <w:rPr>
          <w:color w:val="32425C"/>
          <w:sz w:val="22"/>
        </w:rPr>
        <w:t>A never-degrade promotion gate — a new model version must match or beat the serving version on every evaluated task before it can serve; every promotion decision emits a signed certificate, and blocked promotions are logged.</w:t>
      </w:r>
    </w:p>
    <w:p>
      <w:pPr>
        <w:pStyle w:val="ListBullet"/>
      </w:pPr>
      <w:r>
        <w:rPr>
          <w:color w:val="32425C"/>
          <w:sz w:val="22"/>
        </w:rPr>
        <w:t>A signed residency attestation — each deployment produces a machine-verifiable record that data-residency enforcement was active, generated inside the customer's own perimeter.</w:t>
      </w:r>
    </w:p>
    <w:p>
      <w:pPr>
        <w:pStyle w:val="ListBullet"/>
      </w:pPr>
      <w:r>
        <w:rPr>
          <w:color w:val="32425C"/>
          <w:sz w:val="22"/>
        </w:rPr>
        <w:t>Measured, signed serving performance — on-premises inference latency below ten milliseconds, published as a signed figure with its measurement provenance.</w:t>
      </w:r>
    </w:p>
    <w:p>
      <w:pPr>
        <w:pStyle w:val="ListBullet"/>
      </w:pPr>
      <w:r>
        <w:rPr>
          <w:color w:val="32425C"/>
          <w:sz w:val="22"/>
        </w:rPr>
        <w:t>A published governance model — the full arrangement (separation of powers between proposing, approving and recording; every guard and what it refuses; a register of claims not yet in force) is documented in the Ryedore Governance Model, itself hash-published and signed.</w:t>
      </w:r>
    </w:p>
    <w:p>
      <w:pPr>
        <w:pStyle w:val="ListBullet"/>
      </w:pPr>
      <w:r>
        <w:rPr>
          <w:color w:val="32425C"/>
          <w:sz w:val="22"/>
        </w:rPr>
        <w:t>Statuses on every number — figures published by Ryedore carry a provenance label (signed, attested, industry figure, target, illustrative, roadmap); a number without its label is treated as an error.</w:t>
      </w:r>
    </w:p>
    <w:p>
      <w:pPr>
        <w:pStyle w:val="Heading2"/>
      </w:pPr>
      <w:r>
        <w:rPr>
          <w:b/>
          <w:color w:val="0A1A3D"/>
        </w:rPr>
        <w:t>2.8 Energy &amp; Sustainability</w:t>
      </w:r>
    </w:p>
    <w:p>
      <w:r>
        <w:rPr>
          <w:b w:val="0"/>
          <w:i w:val="0"/>
          <w:color w:val="32425C"/>
          <w:sz w:val="22"/>
        </w:rPr>
        <w:t>Industrial energy consumption is an operational cost, an emissions driver, and — increasingly — a board-level reporting obligation. Ryedore approaches it the same way it approaches reliability: mechanisms first, measured outcomes only when they exist.</w:t>
      </w:r>
    </w:p>
    <w:p>
      <w:r>
        <w:rPr>
          <w:b/>
          <w:i w:val="0"/>
          <w:color w:val="0A1A3D"/>
          <w:sz w:val="22"/>
        </w:rPr>
        <w:t>What the platform does today:</w:t>
      </w:r>
    </w:p>
    <w:p>
      <w:pPr>
        <w:pStyle w:val="ListBullet"/>
      </w:pPr>
      <w:r>
        <w:rPr>
          <w:color w:val="32425C"/>
          <w:sz w:val="22"/>
        </w:rPr>
        <w:t>Simulates energy consumption in what-if scenarios — operating-point changes are evaluated for energy draw alongside temperatures, stresses and wear before anything is changed on the physical equipment.</w:t>
      </w:r>
    </w:p>
    <w:p>
      <w:pPr>
        <w:pStyle w:val="ListBullet"/>
      </w:pPr>
      <w:r>
        <w:rPr>
          <w:color w:val="32425C"/>
          <w:sz w:val="22"/>
        </w:rPr>
        <w:t>Optimizes operating parameters with energy as an explicit objective — set-point recommendations can minimize energy use subject to throughput and quality constraints.</w:t>
      </w:r>
    </w:p>
    <w:p>
      <w:pPr>
        <w:pStyle w:val="ListBullet"/>
      </w:pPr>
      <w:r>
        <w:rPr>
          <w:color w:val="32425C"/>
          <w:sz w:val="22"/>
        </w:rPr>
        <w:t>Reduces energy-wasteful degraded operation by mechanism — equipment operating with developing faults (fouled exchangers, worn bearings, hunting valves) draws more energy per unit of output; predicting and fixing degradation at the right time removes that waste window.</w:t>
      </w:r>
    </w:p>
    <w:p>
      <w:pPr>
        <w:pStyle w:val="ListBullet"/>
      </w:pPr>
      <w:r>
        <w:rPr>
          <w:color w:val="32425C"/>
          <w:sz w:val="22"/>
        </w:rPr>
        <w:t>Runs efficiently by architecture — inference happens on a single on-premises server class machine inside your fence, with no continuous cloud round-trips and no third-party model calls.</w:t>
      </w:r>
    </w:p>
    <w:p>
      <w:r>
        <w:rPr>
          <w:b/>
          <w:i w:val="0"/>
          <w:color w:val="0A1A3D"/>
          <w:sz w:val="22"/>
        </w:rPr>
        <w:t>Aspirations on the roadmap (STATUS: ROADMAP — not yet shipped):</w:t>
      </w:r>
    </w:p>
    <w:p>
      <w:pPr>
        <w:pStyle w:val="ListBullet"/>
      </w:pPr>
      <w:r>
        <w:rPr>
          <w:color w:val="32425C"/>
          <w:sz w:val="22"/>
        </w:rPr>
        <w:t>Per-asset energy baselines and consumption tracking, so energy drift becomes a first-class monitored signal like vibration or temperature.</w:t>
      </w:r>
    </w:p>
    <w:p>
      <w:pPr>
        <w:pStyle w:val="ListBullet"/>
      </w:pPr>
      <w:r>
        <w:rPr>
          <w:color w:val="32425C"/>
          <w:sz w:val="22"/>
        </w:rPr>
        <w:t>Energy- and cost-weighted alerting — alert thresholds that account for the energy and cost consequence of acting versus waiting.</w:t>
      </w:r>
    </w:p>
    <w:p>
      <w:pPr>
        <w:pStyle w:val="ListBullet"/>
      </w:pPr>
      <w:r>
        <w:rPr>
          <w:color w:val="32425C"/>
          <w:sz w:val="22"/>
        </w:rPr>
        <w:t>Energy-aware maintenance windows — scheduling recommended work when the energy and production cost of the intervention is lowest.</w:t>
      </w:r>
    </w:p>
    <w:p>
      <w:pPr>
        <w:pStyle w:val="ListBullet"/>
      </w:pPr>
      <w:r>
        <w:rPr>
          <w:color w:val="32425C"/>
          <w:sz w:val="22"/>
        </w:rPr>
        <w:t>Fleet energy reporting designed to support ISO 50001-style energy-management programs from the operational data the platform already reads.</w:t>
      </w:r>
    </w:p>
    <w:p>
      <w:r>
        <w:rPr>
          <w:b/>
          <w:i w:val="0"/>
          <w:color w:val="0A1A3D"/>
          <w:sz w:val="22"/>
        </w:rPr>
        <w:t>The energy measures we commit to, named in advance:</w:t>
      </w:r>
    </w:p>
    <w:p>
      <w:pPr>
        <w:pStyle w:val="ListBullet"/>
      </w:pPr>
      <w:r>
        <w:rPr>
          <w:color w:val="32425C"/>
          <w:sz w:val="22"/>
        </w:rPr>
        <w:t>Specific energy consumption per asset — energy per unit of output, against a declared baseline period, adjusted for production volume and operating conditions.</w:t>
      </w:r>
    </w:p>
    <w:p>
      <w:pPr>
        <w:pStyle w:val="ListBullet"/>
      </w:pPr>
      <w:r>
        <w:rPr>
          <w:color w:val="32425C"/>
          <w:sz w:val="22"/>
        </w:rPr>
        <w:t>Energy drift — deviation of an asset's energy draw from its own learned baseline, monitored like any other degradation signal.</w:t>
      </w:r>
    </w:p>
    <w:p>
      <w:pPr>
        <w:pStyle w:val="ListBullet"/>
      </w:pPr>
      <w:r>
        <w:rPr>
          <w:color w:val="32425C"/>
          <w:sz w:val="22"/>
        </w:rPr>
        <w:t>Avoided degradation waste — the measured energy difference between degraded and restored operation, M&amp;V-adjusted, attributed only where the maintenance record shows the intervention.</w:t>
      </w:r>
    </w:p>
    <w:p>
      <w:r>
        <w:rPr>
          <w:b w:val="0"/>
          <w:i w:val="0"/>
          <w:color w:val="32425C"/>
          <w:sz w:val="22"/>
        </w:rPr>
        <w:t>Energy- and cost-weighted decisions will use the customer's own tariff and grid carbon-intensity data, supplied as inputs inside the customer's perimeter — consistent with the platform's zero-third-party-dependency architecture.</w:t>
      </w:r>
    </w:p>
    <w:p>
      <w:r>
        <w:rPr>
          <w:b/>
          <w:i w:val="0"/>
          <w:color w:val="0A1A3D"/>
          <w:sz w:val="22"/>
        </w:rPr>
        <w:t>What Ryedore will never claim on energy:</w:t>
      </w:r>
    </w:p>
    <w:p>
      <w:pPr>
        <w:pStyle w:val="ListBullet"/>
      </w:pPr>
      <w:r>
        <w:rPr>
          <w:color w:val="32425C"/>
          <w:sz w:val="22"/>
        </w:rPr>
        <w:t>No offset arithmetic, no net-zero marketing, no fleet-wide percentages projected from a single asset — an energy claim without its measurement boundary, baseline and method is treated as an error, exactly like any other unlabelled number.</w:t>
      </w:r>
    </w:p>
    <w:p>
      <w:r>
        <w:rPr>
          <w:b/>
          <w:i w:val="0"/>
          <w:color w:val="0A1A3D"/>
          <w:sz w:val="22"/>
        </w:rPr>
        <w:t>How energy outcomes will be measured (methodology commitment):</w:t>
      </w:r>
    </w:p>
    <w:p>
      <w:r>
        <w:rPr>
          <w:b w:val="0"/>
          <w:i w:val="0"/>
          <w:color w:val="32425C"/>
          <w:sz w:val="22"/>
        </w:rPr>
        <w:t>When energy outcomes are reported, they will follow measurement-and-verification discipline consistent with IPMVP-style practice: a declared measurement boundary per asset or system, a baseline period agreed before any intervention, adjustment for production volume and operating conditions, and publication of the method alongside the number. An energy figure without its boundary, baseline and method will be treated the same way Ryedore treats any number without a status label: as an error.</w:t>
      </w:r>
    </w:p>
    <w:p>
      <w:r>
        <w:rPr>
          <w:b w:val="0"/>
          <w:i w:val="0"/>
          <w:color w:val="32425C"/>
          <w:sz w:val="22"/>
        </w:rPr>
        <w:t>This stance is also regulatory alignment by design: emerging green-claims rules in major jurisdictions require substantiation before publication. Ryedore's grounded-or-null policy — no figure until it is measured — satisfies that bar structurally rather than defensively.</w:t>
      </w:r>
    </w:p>
    <w:p>
      <w:r>
        <w:rPr>
          <w:b/>
          <w:i w:val="0"/>
          <w:color w:val="0A1A3D"/>
          <w:sz w:val="22"/>
        </w:rPr>
        <w:t>Our own footprint:</w:t>
      </w:r>
    </w:p>
    <w:p>
      <w:r>
        <w:rPr>
          <w:b w:val="0"/>
          <w:i w:val="0"/>
          <w:color w:val="32425C"/>
          <w:sz w:val="22"/>
        </w:rPr>
        <w:t>The platform itself is engineered to be computationally frugal: model training runs on single-server-class GPU hardware rather than datacenter fleets, and inference serves on one on-premises machine inside the customer's fence — with no continuous cloud round-trips and no third-party model calls consuming energy elsewhere on the customer's behalf.</w:t>
      </w:r>
    </w:p>
    <w:p>
      <w:r>
        <w:rPr>
          <w:b w:val="0"/>
          <w:i/>
          <w:color w:val="6B7280"/>
          <w:sz w:val="20"/>
        </w:rPr>
        <w:t>Ryedore publishes no energy-savings percentages today. When field deployments produce measured energy outcomes, they will be published with the same signed, statused discipline as every other Ryedore number.</w:t>
      </w:r>
    </w:p>
    <w:p>
      <w:pPr>
        <w:pStyle w:val="Heading1"/>
      </w:pPr>
      <w:r>
        <w:rPr>
          <w:b/>
          <w:color w:val="0A1A3D"/>
        </w:rPr>
        <w:t>3. Capability Domains</w:t>
      </w:r>
    </w:p>
    <w:p>
      <w:r>
        <w:rPr>
          <w:b/>
          <w:i w:val="0"/>
          <w:color w:val="0A1A3D"/>
          <w:sz w:val="26"/>
        </w:rPr>
        <w:t>Predictive Maintenance</w:t>
      </w:r>
    </w:p>
    <w:p>
      <w:r>
        <w:rPr>
          <w:b w:val="0"/>
          <w:i w:val="0"/>
          <w:color w:val="32425C"/>
          <w:sz w:val="22"/>
        </w:rPr>
        <w:t>Predict equipment failures before they happen with specific timing windows. Calculate remaining useful life for critical components based on actual operating conditions, not manufacturer averages. Replace turbine blades, infusion pump components, datacenter cooling units, or lithography tool parts at the right time — not too early, not too late.</w:t>
      </w:r>
    </w:p>
    <w:p>
      <w:r>
        <w:rPr>
          <w:b w:val="0"/>
          <w:i w:val="0"/>
          <w:color w:val="32425C"/>
          <w:sz w:val="22"/>
        </w:rPr>
      </w:r>
    </w:p>
    <w:p>
      <w:r>
        <w:rPr>
          <w:b/>
          <w:i w:val="0"/>
          <w:color w:val="0A1A3D"/>
          <w:sz w:val="26"/>
        </w:rPr>
        <w:t>Anomaly Detection</w:t>
      </w:r>
    </w:p>
    <w:p>
      <w:r>
        <w:rPr>
          <w:b w:val="0"/>
          <w:i w:val="0"/>
          <w:color w:val="32425C"/>
          <w:sz w:val="22"/>
        </w:rPr>
        <w:t>Catch subtle pattern shifts that precede failures by days or weeks. A 0.3°C drift in a CRAC supply temperature. A 2% current increase in a traction motor. A subtle calibration shift on an MRI scanner. A pressure ripple on a polish-line pump. The platform sees patterns invisible to threshold-based dashboards.</w:t>
      </w:r>
    </w:p>
    <w:p>
      <w:r>
        <w:rPr>
          <w:b w:val="0"/>
          <w:i w:val="0"/>
          <w:color w:val="32425C"/>
          <w:sz w:val="22"/>
        </w:rPr>
      </w:r>
    </w:p>
    <w:p>
      <w:r>
        <w:rPr>
          <w:b/>
          <w:i w:val="0"/>
          <w:color w:val="0A1A3D"/>
          <w:sz w:val="26"/>
        </w:rPr>
        <w:t>Root Cause Analysis</w:t>
      </w:r>
    </w:p>
    <w:p>
      <w:r>
        <w:rPr>
          <w:b w:val="0"/>
          <w:i w:val="0"/>
          <w:color w:val="32425C"/>
          <w:sz w:val="22"/>
        </w:rPr>
        <w:t>When something goes wrong, trace the causal chain back to its origin with auditable reasoning. A bearing failure traced to lubricant contamination. A wafer yield excursion traced to a deposition chamber drift. A medical-imaging artifact traced to gradient coil thermal drift. No more guessing. No more recurring failures.</w:t>
      </w:r>
    </w:p>
    <w:p>
      <w:r>
        <w:rPr>
          <w:b w:val="0"/>
          <w:i w:val="0"/>
          <w:color w:val="32425C"/>
          <w:sz w:val="22"/>
        </w:rPr>
      </w:r>
    </w:p>
    <w:p>
      <w:r>
        <w:rPr>
          <w:b/>
          <w:i w:val="0"/>
          <w:color w:val="0A1A3D"/>
          <w:sz w:val="26"/>
        </w:rPr>
        <w:t>Digital Twin Simulation</w:t>
      </w:r>
    </w:p>
    <w:p>
      <w:r>
        <w:rPr>
          <w:b w:val="0"/>
          <w:i w:val="0"/>
          <w:color w:val="32425C"/>
          <w:sz w:val="22"/>
        </w:rPr>
        <w:t>Test operational scenarios virtually before changing the physical equipment. Ask 'What if I increase throughput by 10%?' or 'What if I delay this PM by two weeks?' and get the answer in seconds — temperatures, stresses, wear rates, energy consumption, yield risk — all simulated.</w:t>
      </w:r>
    </w:p>
    <w:p>
      <w:r>
        <w:rPr>
          <w:b w:val="0"/>
          <w:i w:val="0"/>
          <w:color w:val="32425C"/>
          <w:sz w:val="22"/>
        </w:rPr>
      </w:r>
    </w:p>
    <w:p>
      <w:r>
        <w:rPr>
          <w:b/>
          <w:i w:val="0"/>
          <w:color w:val="0A1A3D"/>
          <w:sz w:val="26"/>
        </w:rPr>
        <w:t>Operational Optimization</w:t>
      </w:r>
    </w:p>
    <w:p>
      <w:r>
        <w:rPr>
          <w:b w:val="0"/>
          <w:i w:val="0"/>
          <w:color w:val="32425C"/>
          <w:sz w:val="22"/>
        </w:rPr>
        <w:t>Continuously search for optimal operating parameters. Find the exact feed rate, temperature, pressure, or set-point combination that maximizes output while minimizing energy, wear, or yield risk. Small improvements across hundreds of equipment items compound into millions in annual savings.</w:t>
      </w:r>
    </w:p>
    <w:p>
      <w:r>
        <w:rPr>
          <w:b w:val="0"/>
          <w:i w:val="0"/>
          <w:color w:val="32425C"/>
          <w:sz w:val="22"/>
        </w:rPr>
      </w:r>
    </w:p>
    <w:p>
      <w:r>
        <w:rPr>
          <w:b/>
          <w:i w:val="0"/>
          <w:color w:val="0A1A3D"/>
          <w:sz w:val="26"/>
        </w:rPr>
        <w:t>Compliance &amp; Audit</w:t>
      </w:r>
    </w:p>
    <w:p>
      <w:r>
        <w:rPr>
          <w:b w:val="0"/>
          <w:i w:val="0"/>
          <w:color w:val="32425C"/>
          <w:sz w:val="22"/>
        </w:rPr>
        <w:t>Every decision, every alert, every action is logged with a full audit trail. Compliance documentation generated automatically — aligned to FDA, NERC, OSHA, ISO, and industry-specific frameworks — and tied to actual equipment performance data.</w:t>
      </w:r>
    </w:p>
    <w:p>
      <w:r>
        <w:rPr>
          <w:b w:val="0"/>
          <w:i w:val="0"/>
          <w:color w:val="32425C"/>
          <w:sz w:val="22"/>
        </w:rPr>
      </w:r>
    </w:p>
    <w:p>
      <w:pPr>
        <w:pStyle w:val="Heading1"/>
      </w:pPr>
      <w:r>
        <w:rPr>
          <w:b/>
          <w:color w:val="0A1A3D"/>
        </w:rPr>
        <w:t>4. Industry Applicability</w:t>
      </w:r>
    </w:p>
    <w:p>
      <w:r>
        <w:rPr>
          <w:b w:val="0"/>
          <w:i w:val="0"/>
          <w:color w:val="32425C"/>
          <w:sz w:val="22"/>
        </w:rPr>
        <w:t>The Ryedore Adaptive Industrial AI Platform works across any industry with operational data. The platform extends to your specific operations on engagement.</w:t>
      </w:r>
    </w:p>
    <w:p>
      <w:r>
        <w:rPr>
          <w:b w:val="0"/>
          <w:i w:val="0"/>
          <w:color w:val="32425C"/>
          <w:sz w:val="22"/>
        </w:rPr>
        <w:t>Representative industries currently served:</w:t>
      </w:r>
    </w:p>
    <w:p>
      <w:pPr>
        <w:pStyle w:val="ListBullet"/>
      </w:pPr>
      <w:r>
        <w:rPr>
          <w:color w:val="32425C"/>
          <w:sz w:val="22"/>
        </w:rPr>
        <w:t>Oil &amp; Gas (upstream, midstream, downstream, offshore)</w:t>
      </w:r>
    </w:p>
    <w:p>
      <w:pPr>
        <w:pStyle w:val="ListBullet"/>
      </w:pPr>
      <w:r>
        <w:rPr>
          <w:color w:val="32425C"/>
          <w:sz w:val="22"/>
        </w:rPr>
        <w:t>Healthcare and Medical Devices (hospitals, ICUs, imaging)</w:t>
      </w:r>
    </w:p>
    <w:p>
      <w:pPr>
        <w:pStyle w:val="ListBullet"/>
      </w:pPr>
      <w:r>
        <w:rPr>
          <w:color w:val="32425C"/>
          <w:sz w:val="22"/>
        </w:rPr>
        <w:t>Pharmaceuticals (manufacturing, biotech, fill-finish)</w:t>
      </w:r>
    </w:p>
    <w:p>
      <w:pPr>
        <w:pStyle w:val="ListBullet"/>
      </w:pPr>
      <w:r>
        <w:rPr>
          <w:color w:val="32425C"/>
          <w:sz w:val="22"/>
        </w:rPr>
        <w:t>Datacenters and Critical Infrastructure</w:t>
      </w:r>
    </w:p>
    <w:p>
      <w:pPr>
        <w:pStyle w:val="ListBullet"/>
      </w:pPr>
      <w:r>
        <w:rPr>
          <w:color w:val="32425C"/>
          <w:sz w:val="22"/>
        </w:rPr>
        <w:t>Semiconductor and Advanced Manufacturing</w:t>
      </w:r>
    </w:p>
    <w:p>
      <w:pPr>
        <w:pStyle w:val="ListBullet"/>
      </w:pPr>
      <w:r>
        <w:rPr>
          <w:color w:val="32425C"/>
          <w:sz w:val="22"/>
        </w:rPr>
        <w:t>Power Generation (thermal, nuclear, renewable, transmission)</w:t>
      </w:r>
    </w:p>
    <w:p>
      <w:pPr>
        <w:pStyle w:val="ListBullet"/>
      </w:pPr>
      <w:r>
        <w:rPr>
          <w:color w:val="32425C"/>
          <w:sz w:val="22"/>
        </w:rPr>
        <w:t>Chemicals and Petrochemicals</w:t>
      </w:r>
    </w:p>
    <w:p>
      <w:pPr>
        <w:pStyle w:val="ListBullet"/>
      </w:pPr>
      <w:r>
        <w:rPr>
          <w:color w:val="32425C"/>
          <w:sz w:val="22"/>
        </w:rPr>
        <w:t>Mining and Metals</w:t>
      </w:r>
    </w:p>
    <w:p>
      <w:pPr>
        <w:pStyle w:val="ListBullet"/>
      </w:pPr>
      <w:r>
        <w:rPr>
          <w:color w:val="32425C"/>
          <w:sz w:val="22"/>
        </w:rPr>
        <w:t>Manufacturing (discrete, process, automotive)</w:t>
      </w:r>
    </w:p>
    <w:p>
      <w:pPr>
        <w:pStyle w:val="ListBullet"/>
      </w:pPr>
      <w:r>
        <w:rPr>
          <w:color w:val="32425C"/>
          <w:sz w:val="22"/>
        </w:rPr>
        <w:t>Food and Beverage Processing</w:t>
      </w:r>
    </w:p>
    <w:p>
      <w:pPr>
        <w:pStyle w:val="ListBullet"/>
      </w:pPr>
      <w:r>
        <w:rPr>
          <w:color w:val="32425C"/>
          <w:sz w:val="22"/>
        </w:rPr>
        <w:t>Aerospace and Defense (MRO and OEM)</w:t>
      </w:r>
    </w:p>
    <w:p>
      <w:pPr>
        <w:pStyle w:val="ListBullet"/>
      </w:pPr>
      <w:r>
        <w:rPr>
          <w:color w:val="32425C"/>
          <w:sz w:val="22"/>
        </w:rPr>
        <w:t>Transportation and Rail</w:t>
      </w:r>
    </w:p>
    <w:p>
      <w:pPr>
        <w:pStyle w:val="ListBullet"/>
      </w:pPr>
      <w:r>
        <w:rPr>
          <w:color w:val="32425C"/>
          <w:sz w:val="22"/>
        </w:rPr>
        <w:t>Utilities (water, wastewater, district energy)</w:t>
      </w:r>
    </w:p>
    <w:p>
      <w:pPr>
        <w:pStyle w:val="ListBullet"/>
      </w:pPr>
      <w:r>
        <w:rPr>
          <w:color w:val="32425C"/>
          <w:sz w:val="22"/>
        </w:rPr>
        <w:t>Pulp, Paper, and Packaging</w:t>
      </w:r>
    </w:p>
    <w:p>
      <w:r>
        <w:rPr>
          <w:b w:val="0"/>
          <w:i/>
          <w:color w:val="6B7280"/>
          <w:sz w:val="20"/>
        </w:rPr>
        <w:t>Any operational data feed — sensor streams, SCADA, historians, control systems, batch records — is in scope. New industries are routinely added during customer engagement.</w:t>
      </w:r>
    </w:p>
    <w:p>
      <w:pPr>
        <w:pStyle w:val="Heading1"/>
      </w:pPr>
      <w:r>
        <w:rPr>
          <w:b/>
          <w:color w:val="0A1A3D"/>
        </w:rPr>
        <w:t>5. Commercial Overview</w:t>
      </w:r>
    </w:p>
    <w:p>
      <w:r>
        <w:rPr>
          <w:b w:val="0"/>
          <w:i w:val="0"/>
          <w:color w:val="32425C"/>
          <w:sz w:val="22"/>
        </w:rPr>
        <w:t>Ryedore is offered through seven tiers, sized to match operations from initial proof-of-value through global flagship deployment.</w:t>
      </w:r>
    </w:p>
    <w:tbl>
      <w:tblPr>
        <w:tblStyle w:val="LightGrid-Accent1"/>
        <w:tblW w:type="auto" w:w="0"/>
        <w:tblLook w:firstColumn="1" w:firstRow="1" w:lastColumn="0" w:lastRow="0" w:noHBand="0" w:noVBand="1" w:val="04A0"/>
      </w:tblPr>
      <w:tblGrid>
        <w:gridCol w:w="3312"/>
        <w:gridCol w:w="3312"/>
        <w:gridCol w:w="3312"/>
      </w:tblGrid>
      <w:tr>
        <w:tc>
          <w:tcPr>
            <w:tcW w:type="dxa" w:w="3312"/>
            <w:shd w:val="clear" w:color="auto" w:fill="E8EAF1"/>
          </w:tcPr>
          <w:p>
            <w:r>
              <w:rPr>
                <w:b/>
                <w:color w:val="0A1A3D"/>
                <w:sz w:val="22"/>
              </w:rPr>
              <w:t>Tier</w:t>
            </w:r>
          </w:p>
        </w:tc>
        <w:tc>
          <w:tcPr>
            <w:tcW w:type="dxa" w:w="3312"/>
            <w:shd w:val="clear" w:color="auto" w:fill="E8EAF1"/>
          </w:tcPr>
          <w:p>
            <w:r>
              <w:rPr>
                <w:b/>
                <w:color w:val="0A1A3D"/>
                <w:sz w:val="22"/>
              </w:rPr>
              <w:t>Asset Cap</w:t>
            </w:r>
          </w:p>
        </w:tc>
        <w:tc>
          <w:tcPr>
            <w:tcW w:type="dxa" w:w="3312"/>
            <w:shd w:val="clear" w:color="auto" w:fill="E8EAF1"/>
          </w:tcPr>
          <w:p>
            <w:r>
              <w:rPr>
                <w:b/>
                <w:color w:val="0A1A3D"/>
                <w:sz w:val="22"/>
              </w:rPr>
              <w:t>Year-1 Total Investment</w:t>
            </w:r>
          </w:p>
        </w:tc>
      </w:tr>
      <w:tr>
        <w:tc>
          <w:tcPr>
            <w:tcW w:type="dxa" w:w="3312"/>
          </w:tcPr>
          <w:p>
            <w:r/>
            <w:r>
              <w:rPr>
                <w:b/>
                <w:color w:val="0A1A3D"/>
                <w:sz w:val="20"/>
              </w:rPr>
              <w:t>Pilot</w:t>
            </w:r>
          </w:p>
        </w:tc>
        <w:tc>
          <w:tcPr>
            <w:tcW w:type="dxa" w:w="3312"/>
          </w:tcPr>
          <w:p>
            <w:r/>
            <w:r>
              <w:rPr>
                <w:b w:val="0"/>
                <w:color w:val="32425C"/>
                <w:sz w:val="20"/>
              </w:rPr>
              <w:t>Up to 40</w:t>
            </w:r>
          </w:p>
        </w:tc>
        <w:tc>
          <w:tcPr>
            <w:tcW w:type="dxa" w:w="3312"/>
          </w:tcPr>
          <w:p>
            <w:r/>
            <w:r>
              <w:rPr>
                <w:b/>
                <w:color w:val="32425C"/>
                <w:sz w:val="20"/>
              </w:rPr>
              <w:t>$275K – $475K</w:t>
            </w:r>
          </w:p>
        </w:tc>
      </w:tr>
      <w:tr>
        <w:tc>
          <w:tcPr>
            <w:tcW w:type="dxa" w:w="3312"/>
          </w:tcPr>
          <w:p>
            <w:r/>
            <w:r>
              <w:rPr>
                <w:b/>
                <w:color w:val="0A1A3D"/>
                <w:sz w:val="20"/>
              </w:rPr>
              <w:t>Small Site</w:t>
            </w:r>
          </w:p>
        </w:tc>
        <w:tc>
          <w:tcPr>
            <w:tcW w:type="dxa" w:w="3312"/>
          </w:tcPr>
          <w:p>
            <w:r/>
            <w:r>
              <w:rPr>
                <w:b w:val="0"/>
                <w:color w:val="32425C"/>
                <w:sz w:val="20"/>
              </w:rPr>
              <w:t>Up to 150</w:t>
            </w:r>
          </w:p>
        </w:tc>
        <w:tc>
          <w:tcPr>
            <w:tcW w:type="dxa" w:w="3312"/>
          </w:tcPr>
          <w:p>
            <w:r/>
            <w:r>
              <w:rPr>
                <w:b/>
                <w:color w:val="32425C"/>
                <w:sz w:val="20"/>
              </w:rPr>
              <w:t>$1.15M – $1.75M</w:t>
            </w:r>
          </w:p>
        </w:tc>
      </w:tr>
      <w:tr>
        <w:tc>
          <w:tcPr>
            <w:tcW w:type="dxa" w:w="3312"/>
          </w:tcPr>
          <w:p>
            <w:r/>
            <w:r>
              <w:rPr>
                <w:b/>
                <w:color w:val="0A1A3D"/>
                <w:sz w:val="20"/>
              </w:rPr>
              <w:t>Standard</w:t>
            </w:r>
          </w:p>
        </w:tc>
        <w:tc>
          <w:tcPr>
            <w:tcW w:type="dxa" w:w="3312"/>
          </w:tcPr>
          <w:p>
            <w:r/>
            <w:r>
              <w:rPr>
                <w:b w:val="0"/>
                <w:color w:val="32425C"/>
                <w:sz w:val="20"/>
              </w:rPr>
              <w:t>Up to 350</w:t>
            </w:r>
          </w:p>
        </w:tc>
        <w:tc>
          <w:tcPr>
            <w:tcW w:type="dxa" w:w="3312"/>
          </w:tcPr>
          <w:p>
            <w:r/>
            <w:r>
              <w:rPr>
                <w:b/>
                <w:color w:val="32425C"/>
                <w:sz w:val="20"/>
              </w:rPr>
              <w:t>$1.7M – $2.75M</w:t>
            </w:r>
          </w:p>
        </w:tc>
      </w:tr>
      <w:tr>
        <w:tc>
          <w:tcPr>
            <w:tcW w:type="dxa" w:w="3312"/>
          </w:tcPr>
          <w:p>
            <w:r/>
            <w:r>
              <w:rPr>
                <w:b/>
                <w:color w:val="0A1A3D"/>
                <w:sz w:val="20"/>
              </w:rPr>
              <w:t>Professional</w:t>
            </w:r>
          </w:p>
        </w:tc>
        <w:tc>
          <w:tcPr>
            <w:tcW w:type="dxa" w:w="3312"/>
          </w:tcPr>
          <w:p>
            <w:r/>
            <w:r>
              <w:rPr>
                <w:b w:val="0"/>
                <w:color w:val="32425C"/>
                <w:sz w:val="20"/>
              </w:rPr>
              <w:t>Up to 700</w:t>
            </w:r>
          </w:p>
        </w:tc>
        <w:tc>
          <w:tcPr>
            <w:tcW w:type="dxa" w:w="3312"/>
          </w:tcPr>
          <w:p>
            <w:r/>
            <w:r>
              <w:rPr>
                <w:b/>
                <w:color w:val="32425C"/>
                <w:sz w:val="20"/>
              </w:rPr>
              <w:t>$5.0M – $7.9M</w:t>
            </w:r>
          </w:p>
        </w:tc>
      </w:tr>
      <w:tr>
        <w:tc>
          <w:tcPr>
            <w:tcW w:type="dxa" w:w="3312"/>
          </w:tcPr>
          <w:p>
            <w:r/>
            <w:r>
              <w:rPr>
                <w:b/>
                <w:color w:val="0A1A3D"/>
                <w:sz w:val="20"/>
              </w:rPr>
              <w:t>Enterprise</w:t>
            </w:r>
          </w:p>
        </w:tc>
        <w:tc>
          <w:tcPr>
            <w:tcW w:type="dxa" w:w="3312"/>
          </w:tcPr>
          <w:p>
            <w:r/>
            <w:r>
              <w:rPr>
                <w:b w:val="0"/>
                <w:color w:val="32425C"/>
                <w:sz w:val="20"/>
              </w:rPr>
              <w:t>Up to 1,500</w:t>
            </w:r>
          </w:p>
        </w:tc>
        <w:tc>
          <w:tcPr>
            <w:tcW w:type="dxa" w:w="3312"/>
          </w:tcPr>
          <w:p>
            <w:r/>
            <w:r>
              <w:rPr>
                <w:b/>
                <w:color w:val="32425C"/>
                <w:sz w:val="20"/>
              </w:rPr>
              <w:t>$9.7M – $13.7M</w:t>
            </w:r>
          </w:p>
        </w:tc>
      </w:tr>
      <w:tr>
        <w:tc>
          <w:tcPr>
            <w:tcW w:type="dxa" w:w="3312"/>
          </w:tcPr>
          <w:p>
            <w:r/>
            <w:r>
              <w:rPr>
                <w:b/>
                <w:color w:val="0A1A3D"/>
                <w:sz w:val="20"/>
              </w:rPr>
              <w:t>Strategic</w:t>
            </w:r>
          </w:p>
        </w:tc>
        <w:tc>
          <w:tcPr>
            <w:tcW w:type="dxa" w:w="3312"/>
          </w:tcPr>
          <w:p>
            <w:r/>
            <w:r>
              <w:rPr>
                <w:b w:val="0"/>
                <w:color w:val="32425C"/>
                <w:sz w:val="20"/>
              </w:rPr>
              <w:t>Up to 3,000</w:t>
            </w:r>
          </w:p>
        </w:tc>
        <w:tc>
          <w:tcPr>
            <w:tcW w:type="dxa" w:w="3312"/>
          </w:tcPr>
          <w:p>
            <w:r/>
            <w:r>
              <w:rPr>
                <w:b/>
                <w:color w:val="32425C"/>
                <w:sz w:val="20"/>
              </w:rPr>
              <w:t>$17.5M – $24.5M</w:t>
            </w:r>
          </w:p>
        </w:tc>
      </w:tr>
      <w:tr>
        <w:tc>
          <w:tcPr>
            <w:tcW w:type="dxa" w:w="3312"/>
          </w:tcPr>
          <w:p>
            <w:r/>
            <w:r>
              <w:rPr>
                <w:b/>
                <w:color w:val="0A1A3D"/>
                <w:sz w:val="20"/>
              </w:rPr>
              <w:t>Flagship / OEM</w:t>
            </w:r>
          </w:p>
        </w:tc>
        <w:tc>
          <w:tcPr>
            <w:tcW w:type="dxa" w:w="3312"/>
          </w:tcPr>
          <w:p>
            <w:r/>
            <w:r>
              <w:rPr>
                <w:b w:val="0"/>
                <w:color w:val="32425C"/>
                <w:sz w:val="20"/>
              </w:rPr>
              <w:t>Custom</w:t>
            </w:r>
          </w:p>
        </w:tc>
        <w:tc>
          <w:tcPr>
            <w:tcW w:type="dxa" w:w="3312"/>
          </w:tcPr>
          <w:p>
            <w:r/>
            <w:r>
              <w:rPr>
                <w:b/>
                <w:color w:val="32425C"/>
                <w:sz w:val="20"/>
              </w:rPr>
              <w:t>$30M – $50M+</w:t>
            </w:r>
          </w:p>
        </w:tc>
      </w:tr>
    </w:tbl>
    <w:p>
      <w:r>
        <w:rPr>
          <w:b w:val="0"/>
          <w:i w:val="0"/>
          <w:color w:val="32425C"/>
          <w:sz w:val="22"/>
        </w:rPr>
      </w:r>
    </w:p>
    <w:p>
      <w:r>
        <w:rPr>
          <w:b w:val="0"/>
          <w:i w:val="0"/>
          <w:color w:val="32425C"/>
          <w:sz w:val="22"/>
        </w:rPr>
        <w:t>Year-1 totals include the Platform Fee, Site Deployment, Annual License Fee, Professional Services, and typical add-on modules per tier. Multi-year commitments earn 8% (3-year), 14% (5-year), or 20% (7-year) discount on total contract value. Full pricing detail and component breakdown is available in the Ryedore Commercial Proposal.</w:t>
      </w:r>
    </w:p>
    <w:p>
      <w:pPr>
        <w:pStyle w:val="Heading1"/>
      </w:pPr>
      <w:r>
        <w:rPr>
          <w:b/>
          <w:color w:val="0A1A3D"/>
        </w:rPr>
        <w:t>6. Engagement Model</w:t>
      </w:r>
    </w:p>
    <w:p>
      <w:r>
        <w:rPr>
          <w:b w:val="0"/>
          <w:i w:val="0"/>
          <w:color w:val="32425C"/>
          <w:sz w:val="22"/>
        </w:rPr>
        <w:t>Ryedore engagements follow a structured model designed to demonstrate value early and scale with confidence:</w:t>
      </w:r>
    </w:p>
    <w:p>
      <w:r>
        <w:rPr>
          <w:b/>
          <w:i w:val="0"/>
          <w:color w:val="0A1A3D"/>
          <w:sz w:val="24"/>
        </w:rPr>
        <w:t>1. Verify First (self-serve, before any commitment)</w:t>
      </w:r>
    </w:p>
    <w:p>
      <w:r>
        <w:rPr>
          <w:b w:val="0"/>
          <w:i w:val="0"/>
          <w:color w:val="32425C"/>
          <w:sz w:val="22"/>
        </w:rPr>
        <w:t>Download the signed evidence bundle from ryedore.com/verify, verify it offline, reproduce the published benchmarks, and optionally run the open harness on your own data. Ryedore sells no pilots and no trials; the audit replaces them — and it runs entirely on your side.</w:t>
      </w:r>
    </w:p>
    <w:p>
      <w:r>
        <w:rPr>
          <w:b w:val="0"/>
          <w:i w:val="0"/>
          <w:color w:val="32425C"/>
          <w:sz w:val="22"/>
        </w:rPr>
      </w:r>
    </w:p>
    <w:p>
      <w:r>
        <w:rPr>
          <w:b/>
          <w:i w:val="0"/>
          <w:color w:val="0A1A3D"/>
          <w:sz w:val="24"/>
        </w:rPr>
        <w:t>2. Discovery &amp; Scoping</w:t>
      </w:r>
    </w:p>
    <w:p>
      <w:r>
        <w:rPr>
          <w:b w:val="0"/>
          <w:i w:val="0"/>
          <w:color w:val="32425C"/>
          <w:sz w:val="22"/>
        </w:rPr>
        <w:t>Joint workshop to confirm fleet inventory, asset criticality, integration scope, and success criteria. Outputs are a clear scope document and confirmed Year-1 commitment.</w:t>
      </w:r>
    </w:p>
    <w:p>
      <w:r>
        <w:rPr>
          <w:b w:val="0"/>
          <w:i w:val="0"/>
          <w:color w:val="32425C"/>
          <w:sz w:val="22"/>
        </w:rPr>
      </w:r>
    </w:p>
    <w:p>
      <w:r>
        <w:rPr>
          <w:b/>
          <w:i w:val="0"/>
          <w:color w:val="0A1A3D"/>
          <w:sz w:val="24"/>
        </w:rPr>
        <w:t>3. Site Deployment</w:t>
      </w:r>
    </w:p>
    <w:p>
      <w:r>
        <w:rPr>
          <w:b w:val="0"/>
          <w:i w:val="0"/>
          <w:color w:val="32425C"/>
          <w:sz w:val="22"/>
        </w:rPr>
        <w:t>Platform deployment on your infrastructure. Sensor connectivity verification. Historical data ingestion. Models calibrated to your fleet history.</w:t>
      </w:r>
    </w:p>
    <w:p>
      <w:r>
        <w:rPr>
          <w:b w:val="0"/>
          <w:i w:val="0"/>
          <w:color w:val="32425C"/>
          <w:sz w:val="22"/>
        </w:rPr>
      </w:r>
    </w:p>
    <w:p>
      <w:r>
        <w:rPr>
          <w:b/>
          <w:i w:val="0"/>
          <w:color w:val="0A1A3D"/>
          <w:sz w:val="24"/>
        </w:rPr>
        <w:t>4. Live Operations &amp; Value Validation</w:t>
      </w:r>
    </w:p>
    <w:p>
      <w:r>
        <w:rPr>
          <w:b w:val="0"/>
          <w:i w:val="0"/>
          <w:color w:val="32425C"/>
          <w:sz w:val="22"/>
        </w:rPr>
        <w:t>Models run live across selected critical assets. Operators trained on the platform. Quantified value demonstrated against agreed KPIs — downtime avoided, maintenance cost reduction, anomaly detection rate.</w:t>
      </w:r>
    </w:p>
    <w:p>
      <w:r>
        <w:rPr>
          <w:b w:val="0"/>
          <w:i w:val="0"/>
          <w:color w:val="32425C"/>
          <w:sz w:val="22"/>
        </w:rPr>
      </w:r>
    </w:p>
    <w:p>
      <w:r>
        <w:rPr>
          <w:b/>
          <w:i w:val="0"/>
          <w:color w:val="0A1A3D"/>
          <w:sz w:val="24"/>
        </w:rPr>
        <w:t>5. Scale-Up</w:t>
      </w:r>
    </w:p>
    <w:p>
      <w:r>
        <w:rPr>
          <w:b w:val="0"/>
          <w:i w:val="0"/>
          <w:color w:val="32425C"/>
          <w:sz w:val="22"/>
        </w:rPr>
        <w:t>Expansion to additional assets, additional sites, or higher-capability tiers as value is proven. Custom domain models built as needed.</w:t>
      </w:r>
    </w:p>
    <w:p>
      <w:r>
        <w:rPr>
          <w:b w:val="0"/>
          <w:i w:val="0"/>
          <w:color w:val="32425C"/>
          <w:sz w:val="22"/>
        </w:rPr>
      </w:r>
    </w:p>
    <w:p>
      <w:r>
        <w:rPr>
          <w:b/>
          <w:i w:val="0"/>
          <w:color w:val="0A1A3D"/>
          <w:sz w:val="24"/>
        </w:rPr>
        <w:t>6. Continuous Success</w:t>
      </w:r>
    </w:p>
    <w:p>
      <w:r>
        <w:rPr>
          <w:b w:val="0"/>
          <w:i w:val="0"/>
          <w:color w:val="32425C"/>
          <w:sz w:val="22"/>
        </w:rPr>
        <w:t>Quarterly business reviews. Continual model improvement. Platform direction influence. Dedicated account team.</w:t>
      </w:r>
    </w:p>
    <w:p>
      <w:r>
        <w:rPr>
          <w:b w:val="0"/>
          <w:i w:val="0"/>
          <w:color w:val="32425C"/>
          <w:sz w:val="22"/>
        </w:rPr>
      </w:r>
    </w:p>
    <w:p>
      <w:pPr>
        <w:pStyle w:val="Heading1"/>
      </w:pPr>
      <w:r>
        <w:rPr>
          <w:b/>
          <w:color w:val="0A1A3D"/>
        </w:rPr>
        <w:t>7. Why Ryedore</w:t>
      </w:r>
    </w:p>
    <w:p>
      <w:r>
        <w:rPr>
          <w:b/>
          <w:i w:val="0"/>
          <w:color w:val="0A1A3D"/>
          <w:sz w:val="24"/>
        </w:rPr>
        <w:t>1. Verifiable, Losses Included</w:t>
      </w:r>
    </w:p>
    <w:p>
      <w:r>
        <w:rPr>
          <w:b w:val="0"/>
          <w:i w:val="0"/>
          <w:color w:val="32425C"/>
          <w:sz w:val="22"/>
        </w:rPr>
        <w:t>Signed public benchmarks anyone can re-run — including where Ryedore loses; a self-serve audit before any conversation; a model that cannot be promoted if it is worse on any task. No other vendor in the category publishes its losses.</w:t>
      </w:r>
    </w:p>
    <w:p>
      <w:r>
        <w:rPr>
          <w:b w:val="0"/>
          <w:i w:val="0"/>
          <w:color w:val="32425C"/>
          <w:sz w:val="22"/>
        </w:rPr>
      </w:r>
    </w:p>
    <w:p>
      <w:r>
        <w:rPr>
          <w:b/>
          <w:i w:val="0"/>
          <w:color w:val="0A1A3D"/>
          <w:sz w:val="24"/>
        </w:rPr>
        <w:t>2. Calibration, Not Construction</w:t>
      </w:r>
    </w:p>
    <w:p>
      <w:r>
        <w:rPr>
          <w:b w:val="0"/>
          <w:i w:val="0"/>
          <w:color w:val="32425C"/>
          <w:sz w:val="22"/>
        </w:rPr>
        <w:t>The cross-industry model is already built; your data calibrates existing capability instead of training a blank slate. Time-to-first-trusted-prediction is measured in the field and published with provenance, not promised in advance.</w:t>
      </w:r>
    </w:p>
    <w:p>
      <w:r>
        <w:rPr>
          <w:b w:val="0"/>
          <w:i w:val="0"/>
          <w:color w:val="32425C"/>
          <w:sz w:val="22"/>
        </w:rPr>
      </w:r>
    </w:p>
    <w:p>
      <w:r>
        <w:rPr>
          <w:b/>
          <w:i w:val="0"/>
          <w:color w:val="0A1A3D"/>
          <w:sz w:val="24"/>
        </w:rPr>
        <w:t>3. Adaptive Across Any Industry</w:t>
      </w:r>
    </w:p>
    <w:p>
      <w:r>
        <w:rPr>
          <w:b w:val="0"/>
          <w:i w:val="0"/>
          <w:color w:val="32425C"/>
          <w:sz w:val="22"/>
        </w:rPr>
        <w:t>Works across any industry with operational data — heavy industrial, clinical, infrastructure, transportation, advanced manufacturing. Extensible to your specific operations on engagement, with no single-vendor lock-in.</w:t>
      </w:r>
    </w:p>
    <w:p>
      <w:r>
        <w:rPr>
          <w:b w:val="0"/>
          <w:i w:val="0"/>
          <w:color w:val="32425C"/>
          <w:sz w:val="22"/>
        </w:rPr>
      </w:r>
    </w:p>
    <w:p>
      <w:r>
        <w:rPr>
          <w:b/>
          <w:i w:val="0"/>
          <w:color w:val="0A1A3D"/>
          <w:sz w:val="24"/>
        </w:rPr>
        <w:t>4. On-Premises Data Sovereignty</w:t>
      </w:r>
    </w:p>
    <w:p>
      <w:r>
        <w:rPr>
          <w:b w:val="0"/>
          <w:i w:val="0"/>
          <w:color w:val="32425C"/>
          <w:sz w:val="22"/>
        </w:rPr>
        <w:t>Your data, models, and decisions stay on your infrastructure. No telemetry leaves your firewall. Verified by design.</w:t>
      </w:r>
    </w:p>
    <w:p>
      <w:r>
        <w:rPr>
          <w:b w:val="0"/>
          <w:i w:val="0"/>
          <w:color w:val="32425C"/>
          <w:sz w:val="22"/>
        </w:rPr>
      </w:r>
    </w:p>
    <w:p>
      <w:r>
        <w:rPr>
          <w:b/>
          <w:i w:val="0"/>
          <w:color w:val="0A1A3D"/>
          <w:sz w:val="24"/>
        </w:rPr>
        <w:t>5. Physics-Aware Predictions</w:t>
      </w:r>
    </w:p>
    <w:p>
      <w:r>
        <w:rPr>
          <w:b w:val="0"/>
          <w:i w:val="0"/>
          <w:color w:val="32425C"/>
          <w:sz w:val="22"/>
        </w:rPr>
        <w:t>Models respect the physical laws governing your equipment and systems. Operationally plausible outcomes — not statistical artifacts.</w:t>
      </w:r>
    </w:p>
    <w:p>
      <w:r>
        <w:rPr>
          <w:b w:val="0"/>
          <w:i w:val="0"/>
          <w:color w:val="32425C"/>
          <w:sz w:val="22"/>
        </w:rPr>
      </w:r>
    </w:p>
    <w:p>
      <w:r>
        <w:rPr>
          <w:b/>
          <w:i w:val="0"/>
          <w:color w:val="0A1A3D"/>
          <w:sz w:val="24"/>
        </w:rPr>
        <w:t>6. Continuous Adaptation</w:t>
      </w:r>
    </w:p>
    <w:p>
      <w:r>
        <w:rPr>
          <w:b w:val="0"/>
          <w:i w:val="0"/>
          <w:color w:val="32425C"/>
          <w:sz w:val="22"/>
        </w:rPr>
        <w:t>Models keep learning from your operations without losing previously learned patterns. No quarterly retraining projects.</w:t>
      </w:r>
    </w:p>
    <w:p>
      <w:r>
        <w:rPr>
          <w:b w:val="0"/>
          <w:i w:val="0"/>
          <w:color w:val="32425C"/>
          <w:sz w:val="22"/>
        </w:rPr>
      </w:r>
    </w:p>
    <w:p>
      <w:r>
        <w:rPr>
          <w:b/>
          <w:i w:val="0"/>
          <w:color w:val="0A1A3D"/>
          <w:sz w:val="24"/>
        </w:rPr>
        <w:t>7. Ryekronix Operations Assistant</w:t>
      </w:r>
    </w:p>
    <w:p>
      <w:r>
        <w:rPr>
          <w:b w:val="0"/>
          <w:i w:val="0"/>
          <w:color w:val="32425C"/>
          <w:sz w:val="22"/>
        </w:rPr>
        <w:t>Conversational interface grounded in your operational history. Ask in plain English. Receive cited recommendations with cost justification.</w:t>
      </w:r>
    </w:p>
    <w:p>
      <w:r>
        <w:rPr>
          <w:b w:val="0"/>
          <w:i w:val="0"/>
          <w:color w:val="32425C"/>
          <w:sz w:val="22"/>
        </w:rPr>
      </w:r>
    </w:p>
    <w:p>
      <w:pPr>
        <w:pStyle w:val="Heading1"/>
      </w:pPr>
      <w:r>
        <w:rPr>
          <w:b/>
          <w:color w:val="0A1A3D"/>
        </w:rPr>
        <w:t>8. Known Limitations — Stated, Not Discovered</w:t>
      </w:r>
    </w:p>
    <w:p>
      <w:r>
        <w:rPr>
          <w:b w:val="0"/>
          <w:i w:val="0"/>
          <w:color w:val="32425C"/>
          <w:sz w:val="22"/>
        </w:rPr>
        <w:t>A document that claims verifiability must also publish what does not yet hold. The following limitations are stated here deliberately, with the same discipline as the claims:</w:t>
      </w:r>
    </w:p>
    <w:p>
      <w:pPr>
        <w:pStyle w:val="ListBullet"/>
      </w:pPr>
      <w:r>
        <w:rPr>
          <w:color w:val="32425C"/>
          <w:sz w:val="22"/>
        </w:rPr>
        <w:t>Benchmark losses exist and are published. On several public benchmark variants, published academic research still leads Ryedore's signed results; the signed report names them, with the numbers drawn to scale. Ryedore's benchmark wins are on specific named tasks, not across the board.</w:t>
      </w:r>
    </w:p>
    <w:p>
      <w:pPr>
        <w:pStyle w:val="ListBullet"/>
      </w:pPr>
      <w:r>
        <w:rPr>
          <w:color w:val="32425C"/>
          <w:sz w:val="22"/>
        </w:rPr>
        <w:t>Some classification tasks are limited by data volume, not modelling — where public datasets are small, results plateau regardless of architecture, and the signed report says so rather than implying capability that data cannot support.</w:t>
      </w:r>
    </w:p>
    <w:p>
      <w:pPr>
        <w:pStyle w:val="ListBullet"/>
      </w:pPr>
      <w:r>
        <w:rPr>
          <w:color w:val="32425C"/>
          <w:sz w:val="22"/>
        </w:rPr>
        <w:t>No customer-attributed outcomes are published yet. Ryedore is production-ready and pre-revenue; field deployments are running, and outcome figures will appear only when customers agree to attribution and the data supports the number.</w:t>
      </w:r>
    </w:p>
    <w:p>
      <w:pPr>
        <w:pStyle w:val="ListBullet"/>
      </w:pPr>
      <w:r>
        <w:rPr>
          <w:color w:val="32425C"/>
          <w:sz w:val="22"/>
        </w:rPr>
        <w:t>Time-to-first-trusted-prediction is not yet a published figure — it is being measured in field deployments rather than promised (Section 2.6).</w:t>
      </w:r>
    </w:p>
    <w:p>
      <w:pPr>
        <w:pStyle w:val="ListBullet"/>
      </w:pPr>
      <w:r>
        <w:rPr>
          <w:color w:val="32425C"/>
          <w:sz w:val="22"/>
        </w:rPr>
        <w:t>Certifications are in progress, not held: ISO 27001 is in progress and SOC 2 Type II is planned; framework alignments (NIST CSF, IEC 62443) are stated as alignments, never as certificates. The live register on ryedore.com/security carries the real status of every framework.</w:t>
      </w:r>
    </w:p>
    <w:p>
      <w:pPr>
        <w:pStyle w:val="ListBullet"/>
      </w:pPr>
      <w:r>
        <w:rPr>
          <w:color w:val="32425C"/>
          <w:sz w:val="22"/>
        </w:rPr>
        <w:t>Even the guardrails are audited — and the audits bite. A September 2026 field review found three of the six action checks ineffective as then wired; the gate was rebuilt as a single composite in which an erroring check counts as a refusal. The finding, the repair and the register entry are published in the Ryedore Governance Model rather than corrected quietly.</w:t>
      </w:r>
    </w:p>
    <w:p>
      <w:pPr>
        <w:pStyle w:val="ListBullet"/>
      </w:pPr>
      <w:r>
        <w:rPr>
          <w:color w:val="32425C"/>
          <w:sz w:val="22"/>
        </w:rPr>
        <w:t>Several roadmap capabilities in Section 9 — including the energy aspirations — are engineering commitments, not shipped features, and are labelled ROADMAP wherever they appear.</w:t>
      </w:r>
    </w:p>
    <w:p>
      <w:r>
        <w:rPr>
          <w:b w:val="0"/>
          <w:i/>
          <w:color w:val="6B7280"/>
          <w:sz w:val="20"/>
        </w:rPr>
        <w:t>If a claim in this document is ever found to overstate what the evidence supports, Ryedore treats that as a defect and corrects the document — the version history in Appendix C exists for that reason.</w:t>
      </w:r>
    </w:p>
    <w:p>
      <w:pPr>
        <w:pStyle w:val="Heading1"/>
      </w:pPr>
      <w:r>
        <w:rPr>
          <w:b/>
          <w:color w:val="0A1A3D"/>
        </w:rPr>
        <w:t>9. Roadmap Highlights</w:t>
      </w:r>
    </w:p>
    <w:p>
      <w:r>
        <w:rPr>
          <w:b w:val="0"/>
          <w:i w:val="0"/>
          <w:color w:val="32425C"/>
          <w:sz w:val="22"/>
        </w:rPr>
        <w:t>STATUS: ROADMAP — the items below are engineering commitments in progress, not shipped capability. Each will ship with its own verification evidence, in keeping with Section 2.7.</w:t>
      </w:r>
    </w:p>
    <w:p>
      <w:r>
        <w:rPr>
          <w:b/>
          <w:i w:val="0"/>
          <w:color w:val="0A1A3D"/>
          <w:sz w:val="24"/>
        </w:rPr>
        <w:t>Signed data profiles</w:t>
      </w:r>
    </w:p>
    <w:p>
      <w:r>
        <w:rPr>
          <w:b w:val="0"/>
          <w:i w:val="0"/>
          <w:color w:val="32425C"/>
          <w:sz w:val="22"/>
        </w:rPr>
        <w:t>Every data ingest produces a versioned, signed contract of what arrived — columns, units, sampling rates, gaps — and every later prediction cites the profile version it was built on.</w:t>
      </w:r>
    </w:p>
    <w:p>
      <w:r>
        <w:rPr>
          <w:b w:val="0"/>
          <w:i w:val="0"/>
          <w:color w:val="32425C"/>
          <w:sz w:val="22"/>
        </w:rPr>
      </w:r>
    </w:p>
    <w:p>
      <w:r>
        <w:rPr>
          <w:b/>
          <w:i w:val="0"/>
          <w:color w:val="0A1A3D"/>
          <w:sz w:val="24"/>
        </w:rPr>
        <w:t>Per-prediction evidence packets</w:t>
      </w:r>
    </w:p>
    <w:p>
      <w:r>
        <w:rPr>
          <w:b w:val="0"/>
          <w:i w:val="0"/>
          <w:color w:val="32425C"/>
          <w:sz w:val="22"/>
        </w:rPr>
        <w:t>One exportable record per prediction: validation layers passed, calibration state, physics check, model hash and signature — filed like any other engineering document.</w:t>
      </w:r>
    </w:p>
    <w:p>
      <w:r>
        <w:rPr>
          <w:b w:val="0"/>
          <w:i w:val="0"/>
          <w:color w:val="32425C"/>
          <w:sz w:val="22"/>
        </w:rPr>
      </w:r>
    </w:p>
    <w:p>
      <w:r>
        <w:rPr>
          <w:b/>
          <w:i w:val="0"/>
          <w:color w:val="0A1A3D"/>
          <w:sz w:val="24"/>
        </w:rPr>
        <w:t>Certified protocol adapters</w:t>
      </w:r>
    </w:p>
    <w:p>
      <w:r>
        <w:rPr>
          <w:b w:val="0"/>
          <w:i w:val="0"/>
          <w:color w:val="32425C"/>
          <w:sz w:val="22"/>
        </w:rPr>
        <w:t>Published certification evidence for standard industrial ingestion protocols, so integration claims are verifiable the same way benchmark claims are.</w:t>
      </w:r>
    </w:p>
    <w:p>
      <w:r>
        <w:rPr>
          <w:b w:val="0"/>
          <w:i w:val="0"/>
          <w:color w:val="32425C"/>
          <w:sz w:val="22"/>
        </w:rPr>
      </w:r>
    </w:p>
    <w:p>
      <w:r>
        <w:rPr>
          <w:b/>
          <w:i w:val="0"/>
          <w:color w:val="0A1A3D"/>
          <w:sz w:val="24"/>
        </w:rPr>
        <w:t>Replay-your-own-history validation</w:t>
      </w:r>
    </w:p>
    <w:p>
      <w:r>
        <w:rPr>
          <w:b w:val="0"/>
          <w:i w:val="0"/>
          <w:color w:val="32425C"/>
          <w:sz w:val="22"/>
        </w:rPr>
        <w:t>Run the platform against your own historical failure events, on your infrastructure, and see whether — and how early — it would have caught them, before you commit.</w:t>
      </w:r>
    </w:p>
    <w:p>
      <w:r>
        <w:rPr>
          <w:b w:val="0"/>
          <w:i w:val="0"/>
          <w:color w:val="32425C"/>
          <w:sz w:val="22"/>
        </w:rPr>
      </w:r>
    </w:p>
    <w:p>
      <w:r>
        <w:rPr>
          <w:b/>
          <w:i w:val="0"/>
          <w:color w:val="0A1A3D"/>
          <w:sz w:val="24"/>
        </w:rPr>
        <w:t>Energy-aware operations</w:t>
      </w:r>
    </w:p>
    <w:p>
      <w:r>
        <w:rPr>
          <w:b w:val="0"/>
          <w:i w:val="0"/>
          <w:color w:val="32425C"/>
          <w:sz w:val="22"/>
        </w:rPr>
        <w:t>The energy aspirations of Section 2.8 — per-asset energy baselines, energy- and cost-weighted alerting, and energy-aware maintenance windows.</w:t>
      </w:r>
    </w:p>
    <w:p>
      <w:r>
        <w:rPr>
          <w:b w:val="0"/>
          <w:i w:val="0"/>
          <w:color w:val="32425C"/>
          <w:sz w:val="22"/>
        </w:rPr>
      </w:r>
    </w:p>
    <w:p>
      <w:pPr>
        <w:pStyle w:val="Heading1"/>
      </w:pPr>
      <w:r>
        <w:rPr>
          <w:b/>
          <w:color w:val="0A1A3D"/>
        </w:rPr>
        <w:t>10. Standards &amp; Governance Posture</w:t>
      </w:r>
    </w:p>
    <w:p>
      <w:r>
        <w:rPr>
          <w:b w:val="0"/>
          <w:i w:val="0"/>
          <w:color w:val="32425C"/>
          <w:sz w:val="22"/>
        </w:rPr>
        <w:t>For public-sector and regulated readers, the platform's design maps directly onto the obligations emerging in AI governance frameworks — stated here as alignment posture, never as certification:</w:t>
      </w:r>
    </w:p>
    <w:p>
      <w:pPr>
        <w:pStyle w:val="ListBullet"/>
      </w:pPr>
      <w:r>
        <w:rPr>
          <w:color w:val="32425C"/>
          <w:sz w:val="22"/>
        </w:rPr>
        <w:t>Human oversight — no autonomous safety-critical action anywhere in the system; six-check gating plus human approval on every action; a manual-approval floor for aerospace, defence and nuclear. (Maps to human-oversight obligations in NIST AI RMF and EU AI Act-style regimes.)</w:t>
      </w:r>
    </w:p>
    <w:p>
      <w:pPr>
        <w:pStyle w:val="ListBullet"/>
      </w:pPr>
      <w:r>
        <w:rPr>
          <w:color w:val="32425C"/>
          <w:sz w:val="22"/>
        </w:rPr>
        <w:t>Logging and traceability — every prediction carries a reasoning trace; every promotion decision emits a signed certificate; audit trails are hash-chained and tamper-evident. (Maps to record-keeping and traceability obligations.)</w:t>
      </w:r>
    </w:p>
    <w:p>
      <w:pPr>
        <w:pStyle w:val="ListBullet"/>
      </w:pPr>
      <w:r>
        <w:rPr>
          <w:color w:val="32425C"/>
          <w:sz w:val="22"/>
        </w:rPr>
        <w:t>Technical documentation — model provenance, training-data licensing audits (permissive-license-only policy, enforced in the build pipeline), and this document's own claims register (Appendix B). (Maps to documentation obligations.)</w:t>
      </w:r>
    </w:p>
    <w:p>
      <w:pPr>
        <w:pStyle w:val="ListBullet"/>
      </w:pPr>
      <w:r>
        <w:rPr>
          <w:color w:val="32425C"/>
          <w:sz w:val="22"/>
        </w:rPr>
        <w:t>Data governance — on-premises residency enforced fail-closed and attested cryptographically; no third-party model dependencies anywhere in the stack.</w:t>
      </w:r>
    </w:p>
    <w:p>
      <w:r>
        <w:rPr>
          <w:b w:val="0"/>
          <w:i/>
          <w:color w:val="6B7280"/>
          <w:sz w:val="20"/>
        </w:rPr>
        <w:t>STATUS: alignment by design — Ryedore does not claim conformity assessment or certification under any AI regulation; it claims, and can demonstrate, the mechanisms those regimes require.</w:t>
      </w:r>
    </w:p>
    <w:p>
      <w:pPr>
        <w:pStyle w:val="Heading1"/>
      </w:pPr>
      <w:r>
        <w:rPr>
          <w:b/>
          <w:color w:val="0A1A3D"/>
        </w:rPr>
        <w:t>11. Conclusion</w:t>
      </w:r>
    </w:p>
    <w:p>
      <w:r>
        <w:rPr>
          <w:b w:val="0"/>
          <w:i w:val="0"/>
          <w:color w:val="32425C"/>
          <w:sz w:val="22"/>
        </w:rPr>
        <w:t>Industrial AI delivers operational value only when it earns operator trust, scales beyond the pilot, respects data sovereignty, and meets the budget reality of mid-market and large industrial operators. The Ryedore Adaptive Industrial AI Platform addresses each of these requirements through physics-aware predictions, continuous adaptation, on-premises deployment, and a conversational operations assistant — delivered as a turnkey platform across any industry with operational data.</w:t>
      </w:r>
    </w:p>
    <w:p>
      <w:pPr>
        <w:ind w:left="432" w:right="432"/>
      </w:pPr>
      <w:r>
        <w:rPr>
          <w:b/>
          <w:i/>
          <w:color w:val="C4994A"/>
          <w:sz w:val="26"/>
        </w:rPr>
        <w:t>Predict the failure. Plan the fix. Prove every prediction.</w:t>
      </w:r>
    </w:p>
    <w:p>
      <w:r>
        <w:br w:type="page"/>
      </w:r>
    </w:p>
    <w:p>
      <w:pPr>
        <w:pStyle w:val="Heading1"/>
      </w:pPr>
      <w:r>
        <w:rPr>
          <w:b/>
          <w:color w:val="0A1A3D"/>
        </w:rPr>
        <w:t>Appendix A — Verify This Document's Claims Yourself</w:t>
      </w:r>
    </w:p>
    <w:p>
      <w:r>
        <w:rPr>
          <w:b w:val="0"/>
          <w:i w:val="0"/>
          <w:color w:val="32425C"/>
          <w:sz w:val="22"/>
        </w:rPr>
        <w:t>The signed evidence bundle behind this document's benchmark claims is public. To verify it offline on any machine:</w:t>
      </w:r>
    </w:p>
    <w:p>
      <w:pPr>
        <w:pStyle w:val="ListBullet"/>
      </w:pPr>
      <w:r>
        <w:rPr>
          <w:color w:val="32425C"/>
          <w:sz w:val="22"/>
        </w:rPr>
        <w:t>Download: ryedore.com/verify → audit-bundle-2026-09-01.zip (98 KB)</w:t>
      </w:r>
    </w:p>
    <w:p>
      <w:pPr>
        <w:pStyle w:val="ListBullet"/>
      </w:pPr>
      <w:r>
        <w:rPr>
          <w:color w:val="32425C"/>
          <w:sz w:val="22"/>
        </w:rPr>
        <w:t>Bundle SHA-256: 88d7a736e6436f15e372d6086b42bd90ba8d2f81c2b064270fbbf1806d0f00e8</w:t>
      </w:r>
    </w:p>
    <w:p>
      <w:pPr>
        <w:pStyle w:val="ListBullet"/>
      </w:pPr>
      <w:r>
        <w:rPr>
          <w:color w:val="32425C"/>
          <w:sz w:val="22"/>
        </w:rPr>
        <w:t>Integrity: sha256sum -c SHA256SUMS  (every file matches its recorded hash)</w:t>
      </w:r>
    </w:p>
    <w:p>
      <w:pPr>
        <w:pStyle w:val="ListBullet"/>
      </w:pPr>
      <w:r>
        <w:rPr>
          <w:color w:val="32425C"/>
          <w:sz w:val="22"/>
        </w:rPr>
        <w:t>Authenticity: ./verify.sh  (RSA-PSS/SHA-256 signature; public key fingerprint 2bc036d1 ships in the bundle)</w:t>
      </w:r>
    </w:p>
    <w:p>
      <w:pPr>
        <w:pStyle w:val="ListBullet"/>
      </w:pPr>
      <w:r>
        <w:rPr>
          <w:color w:val="32425C"/>
          <w:sz w:val="22"/>
        </w:rPr>
        <w:t>Reproduction: the open harness re-runs the published benchmarks on public datasets; the same harness runs on your own data.</w:t>
      </w:r>
    </w:p>
    <w:p>
      <w:r>
        <w:rPr>
          <w:b w:val="0"/>
          <w:i/>
          <w:color w:val="6B7280"/>
          <w:sz w:val="20"/>
        </w:rPr>
        <w:t>This document is itself published with a SHA-256 hash and a detached signature under the same key, listed at ryedore.com/resources — so the copy you are reading can be checked for tampering like any other Ryedore artifact.</w:t>
      </w:r>
    </w:p>
    <w:p>
      <w:pPr>
        <w:pStyle w:val="Heading1"/>
      </w:pPr>
      <w:r>
        <w:rPr>
          <w:b/>
          <w:color w:val="0A1A3D"/>
        </w:rPr>
        <w:t>Appendix B — Claims Register</w:t>
      </w:r>
    </w:p>
    <w:p>
      <w:r>
        <w:rPr>
          <w:b w:val="0"/>
          <w:i w:val="0"/>
          <w:color w:val="32425C"/>
          <w:sz w:val="22"/>
        </w:rPr>
        <w:t>Every material claim in this document, its provenance status, and where to check it:</w:t>
      </w:r>
    </w:p>
    <w:tbl>
      <w:tblPr>
        <w:tblStyle w:val="LightGrid-Accent1"/>
        <w:tblW w:type="auto" w:w="0"/>
        <w:tblLook w:firstColumn="1" w:firstRow="1" w:lastColumn="0" w:lastRow="0" w:noHBand="0" w:noVBand="1" w:val="04A0"/>
      </w:tblPr>
      <w:tblGrid>
        <w:gridCol w:w="3312"/>
        <w:gridCol w:w="3312"/>
        <w:gridCol w:w="3312"/>
      </w:tblGrid>
      <w:tr>
        <w:tc>
          <w:tcPr>
            <w:tcW w:type="dxa" w:w="3312"/>
            <w:shd w:val="clear" w:color="auto" w:fill="E8EAF1"/>
          </w:tcPr>
          <w:p>
            <w:r>
              <w:rPr>
                <w:b/>
                <w:color w:val="0A1A3D"/>
                <w:sz w:val="22"/>
              </w:rPr>
              <w:t>Claim</w:t>
            </w:r>
          </w:p>
        </w:tc>
        <w:tc>
          <w:tcPr>
            <w:tcW w:type="dxa" w:w="3312"/>
            <w:shd w:val="clear" w:color="auto" w:fill="E8EAF1"/>
          </w:tcPr>
          <w:p>
            <w:r>
              <w:rPr>
                <w:b/>
                <w:color w:val="0A1A3D"/>
                <w:sz w:val="22"/>
              </w:rPr>
              <w:t>Status</w:t>
            </w:r>
          </w:p>
        </w:tc>
        <w:tc>
          <w:tcPr>
            <w:tcW w:type="dxa" w:w="3312"/>
            <w:shd w:val="clear" w:color="auto" w:fill="E8EAF1"/>
          </w:tcPr>
          <w:p>
            <w:r>
              <w:rPr>
                <w:b/>
                <w:color w:val="0A1A3D"/>
                <w:sz w:val="22"/>
              </w:rPr>
              <w:t>Where to verify</w:t>
            </w:r>
          </w:p>
        </w:tc>
      </w:tr>
      <w:tr>
        <w:tc>
          <w:tcPr>
            <w:tcW w:type="dxa" w:w="3312"/>
          </w:tcPr>
          <w:p>
            <w:r/>
            <w:r>
              <w:rPr>
                <w:b w:val="0"/>
                <w:color w:val="32425C"/>
                <w:sz w:val="18"/>
              </w:rPr>
              <w:t>21 signed benchmark reports, losses included</w:t>
            </w:r>
          </w:p>
        </w:tc>
        <w:tc>
          <w:tcPr>
            <w:tcW w:type="dxa" w:w="3312"/>
          </w:tcPr>
          <w:p>
            <w:r/>
            <w:r>
              <w:rPr>
                <w:b/>
                <w:color w:val="0A1A3D"/>
                <w:sz w:val="18"/>
              </w:rPr>
              <w:t>SIGNED</w:t>
            </w:r>
          </w:p>
        </w:tc>
        <w:tc>
          <w:tcPr>
            <w:tcW w:type="dxa" w:w="3312"/>
          </w:tcPr>
          <w:p>
            <w:r/>
            <w:r>
              <w:rPr>
                <w:b w:val="0"/>
                <w:color w:val="32425C"/>
                <w:sz w:val="18"/>
              </w:rPr>
              <w:t>ryedore.com/verify (re-run offline)</w:t>
            </w:r>
          </w:p>
        </w:tc>
      </w:tr>
      <w:tr>
        <w:tc>
          <w:tcPr>
            <w:tcW w:type="dxa" w:w="3312"/>
          </w:tcPr>
          <w:p>
            <w:r/>
            <w:r>
              <w:rPr>
                <w:b w:val="0"/>
                <w:color w:val="32425C"/>
                <w:sz w:val="18"/>
              </w:rPr>
              <w:t>On-premises inference latency below 10 ms</w:t>
            </w:r>
          </w:p>
        </w:tc>
        <w:tc>
          <w:tcPr>
            <w:tcW w:type="dxa" w:w="3312"/>
          </w:tcPr>
          <w:p>
            <w:r/>
            <w:r>
              <w:rPr>
                <w:b/>
                <w:color w:val="0A1A3D"/>
                <w:sz w:val="18"/>
              </w:rPr>
              <w:t>SIGNED</w:t>
            </w:r>
          </w:p>
        </w:tc>
        <w:tc>
          <w:tcPr>
            <w:tcW w:type="dxa" w:w="3312"/>
          </w:tcPr>
          <w:p>
            <w:r/>
            <w:r>
              <w:rPr>
                <w:b w:val="0"/>
                <w:color w:val="32425C"/>
                <w:sz w:val="18"/>
              </w:rPr>
              <w:t>Signed latency registry, verify bundle</w:t>
            </w:r>
          </w:p>
        </w:tc>
      </w:tr>
      <w:tr>
        <w:tc>
          <w:tcPr>
            <w:tcW w:type="dxa" w:w="3312"/>
          </w:tcPr>
          <w:p>
            <w:r/>
            <w:r>
              <w:rPr>
                <w:b w:val="0"/>
                <w:color w:val="32425C"/>
                <w:sz w:val="18"/>
              </w:rPr>
              <w:t>Never-degrade promotion gate; signed promotion certificates</w:t>
            </w:r>
          </w:p>
        </w:tc>
        <w:tc>
          <w:tcPr>
            <w:tcW w:type="dxa" w:w="3312"/>
          </w:tcPr>
          <w:p>
            <w:r/>
            <w:r>
              <w:rPr>
                <w:b/>
                <w:color w:val="0A1A3D"/>
                <w:sz w:val="18"/>
              </w:rPr>
              <w:t>ATTESTED</w:t>
            </w:r>
          </w:p>
        </w:tc>
        <w:tc>
          <w:tcPr>
            <w:tcW w:type="dxa" w:w="3312"/>
          </w:tcPr>
          <w:p>
            <w:r/>
            <w:r>
              <w:rPr>
                <w:b w:val="0"/>
                <w:color w:val="32425C"/>
                <w:sz w:val="18"/>
              </w:rPr>
              <w:t>Gate log, ryedore.com/verify</w:t>
            </w:r>
          </w:p>
        </w:tc>
      </w:tr>
      <w:tr>
        <w:tc>
          <w:tcPr>
            <w:tcW w:type="dxa" w:w="3312"/>
          </w:tcPr>
          <w:p>
            <w:r/>
            <w:r>
              <w:rPr>
                <w:b w:val="0"/>
                <w:color w:val="32425C"/>
                <w:sz w:val="18"/>
              </w:rPr>
              <w:t>Data-residency enforcement, cryptographically attested</w:t>
            </w:r>
          </w:p>
        </w:tc>
        <w:tc>
          <w:tcPr>
            <w:tcW w:type="dxa" w:w="3312"/>
          </w:tcPr>
          <w:p>
            <w:r/>
            <w:r>
              <w:rPr>
                <w:b/>
                <w:color w:val="0A1A3D"/>
                <w:sz w:val="18"/>
              </w:rPr>
              <w:t>ATTESTED</w:t>
            </w:r>
          </w:p>
        </w:tc>
        <w:tc>
          <w:tcPr>
            <w:tcW w:type="dxa" w:w="3312"/>
          </w:tcPr>
          <w:p>
            <w:r/>
            <w:r>
              <w:rPr>
                <w:b w:val="0"/>
                <w:color w:val="32425C"/>
                <w:sz w:val="18"/>
              </w:rPr>
              <w:t>Attestation generated in-deployment</w:t>
            </w:r>
          </w:p>
        </w:tc>
      </w:tr>
      <w:tr>
        <w:tc>
          <w:tcPr>
            <w:tcW w:type="dxa" w:w="3312"/>
          </w:tcPr>
          <w:p>
            <w:r/>
            <w:r>
              <w:rPr>
                <w:b w:val="0"/>
                <w:color w:val="32425C"/>
                <w:sz w:val="18"/>
              </w:rPr>
              <w:t>Ryekronix action containment (two action types, six checks, human approval)</w:t>
            </w:r>
          </w:p>
        </w:tc>
        <w:tc>
          <w:tcPr>
            <w:tcW w:type="dxa" w:w="3312"/>
          </w:tcPr>
          <w:p>
            <w:r/>
            <w:r>
              <w:rPr>
                <w:b/>
                <w:color w:val="0A1A3D"/>
                <w:sz w:val="18"/>
              </w:rPr>
              <w:t>DESIGN INVARIANT</w:t>
            </w:r>
          </w:p>
        </w:tc>
        <w:tc>
          <w:tcPr>
            <w:tcW w:type="dxa" w:w="3312"/>
          </w:tcPr>
          <w:p>
            <w:r/>
            <w:r>
              <w:rPr>
                <w:b w:val="0"/>
                <w:color w:val="32425C"/>
                <w:sz w:val="18"/>
              </w:rPr>
              <w:t>Architecture documentation; demonstrable in any demo</w:t>
            </w:r>
          </w:p>
        </w:tc>
      </w:tr>
      <w:tr>
        <w:tc>
          <w:tcPr>
            <w:tcW w:type="dxa" w:w="3312"/>
          </w:tcPr>
          <w:p>
            <w:r/>
            <w:r>
              <w:rPr>
                <w:b w:val="0"/>
                <w:color w:val="32425C"/>
                <w:sz w:val="18"/>
              </w:rPr>
              <w:t>Downtime-cost figures in Section 1.1</w:t>
            </w:r>
          </w:p>
        </w:tc>
        <w:tc>
          <w:tcPr>
            <w:tcW w:type="dxa" w:w="3312"/>
          </w:tcPr>
          <w:p>
            <w:r/>
            <w:r>
              <w:rPr>
                <w:b/>
                <w:color w:val="0A1A3D"/>
                <w:sz w:val="18"/>
              </w:rPr>
              <w:t>INDUSTRY FIGURE</w:t>
            </w:r>
          </w:p>
        </w:tc>
        <w:tc>
          <w:tcPr>
            <w:tcW w:type="dxa" w:w="3312"/>
          </w:tcPr>
          <w:p>
            <w:r/>
            <w:r>
              <w:rPr>
                <w:b w:val="0"/>
                <w:color w:val="32425C"/>
                <w:sz w:val="18"/>
              </w:rPr>
              <w:t>Published third-party estimates; sources on request</w:t>
            </w:r>
          </w:p>
        </w:tc>
      </w:tr>
      <w:tr>
        <w:tc>
          <w:tcPr>
            <w:tcW w:type="dxa" w:w="3312"/>
          </w:tcPr>
          <w:p>
            <w:r/>
            <w:r>
              <w:rPr>
                <w:b w:val="0"/>
                <w:color w:val="32425C"/>
                <w:sz w:val="18"/>
              </w:rPr>
              <w:t>Seven published pricing tiers</w:t>
            </w:r>
          </w:p>
        </w:tc>
        <w:tc>
          <w:tcPr>
            <w:tcW w:type="dxa" w:w="3312"/>
          </w:tcPr>
          <w:p>
            <w:r/>
            <w:r>
              <w:rPr>
                <w:b/>
                <w:color w:val="0A1A3D"/>
                <w:sz w:val="18"/>
              </w:rPr>
              <w:t>PUBLISHED</w:t>
            </w:r>
          </w:p>
        </w:tc>
        <w:tc>
          <w:tcPr>
            <w:tcW w:type="dxa" w:w="3312"/>
          </w:tcPr>
          <w:p>
            <w:r/>
            <w:r>
              <w:rPr>
                <w:b w:val="0"/>
                <w:color w:val="32425C"/>
                <w:sz w:val="18"/>
              </w:rPr>
              <w:t>ryedore.com/pricing</w:t>
            </w:r>
          </w:p>
        </w:tc>
      </w:tr>
      <w:tr>
        <w:tc>
          <w:tcPr>
            <w:tcW w:type="dxa" w:w="3312"/>
          </w:tcPr>
          <w:p>
            <w:r/>
            <w:r>
              <w:rPr>
                <w:b w:val="0"/>
                <w:color w:val="32425C"/>
                <w:sz w:val="18"/>
              </w:rPr>
              <w:t>Energy &amp; sustainability capabilities in 2.8 marked roadmap</w:t>
            </w:r>
          </w:p>
        </w:tc>
        <w:tc>
          <w:tcPr>
            <w:tcW w:type="dxa" w:w="3312"/>
          </w:tcPr>
          <w:p>
            <w:r/>
            <w:r>
              <w:rPr>
                <w:b/>
                <w:color w:val="0A1A3D"/>
                <w:sz w:val="18"/>
              </w:rPr>
              <w:t>ROADMAP</w:t>
            </w:r>
          </w:p>
        </w:tc>
        <w:tc>
          <w:tcPr>
            <w:tcW w:type="dxa" w:w="3312"/>
          </w:tcPr>
          <w:p>
            <w:r/>
            <w:r>
              <w:rPr>
                <w:b w:val="0"/>
                <w:color w:val="32425C"/>
                <w:sz w:val="18"/>
              </w:rPr>
              <w:t>This document; website roadmap</w:t>
            </w:r>
          </w:p>
        </w:tc>
      </w:tr>
      <w:tr>
        <w:tc>
          <w:tcPr>
            <w:tcW w:type="dxa" w:w="3312"/>
          </w:tcPr>
          <w:p>
            <w:r/>
            <w:r>
              <w:rPr>
                <w:b w:val="0"/>
                <w:color w:val="32425C"/>
                <w:sz w:val="18"/>
              </w:rPr>
              <w:t>Time-to-first-trusted-prediction</w:t>
            </w:r>
          </w:p>
        </w:tc>
        <w:tc>
          <w:tcPr>
            <w:tcW w:type="dxa" w:w="3312"/>
          </w:tcPr>
          <w:p>
            <w:r/>
            <w:r>
              <w:rPr>
                <w:b/>
                <w:color w:val="0A1A3D"/>
                <w:sz w:val="18"/>
              </w:rPr>
              <w:t>MEASUREMENT IN PROGRESS</w:t>
            </w:r>
          </w:p>
        </w:tc>
        <w:tc>
          <w:tcPr>
            <w:tcW w:type="dxa" w:w="3312"/>
          </w:tcPr>
          <w:p>
            <w:r/>
            <w:r>
              <w:rPr>
                <w:b w:val="0"/>
                <w:color w:val="32425C"/>
                <w:sz w:val="18"/>
              </w:rPr>
              <w:t>Published when measured, with provenance</w:t>
            </w:r>
          </w:p>
        </w:tc>
      </w:tr>
      <w:tr>
        <w:tc>
          <w:tcPr>
            <w:tcW w:type="dxa" w:w="3312"/>
          </w:tcPr>
          <w:p>
            <w:r/>
            <w:r>
              <w:rPr>
                <w:b w:val="0"/>
                <w:color w:val="32425C"/>
                <w:sz w:val="18"/>
              </w:rPr>
              <w:t>Certifications and framework alignments</w:t>
            </w:r>
          </w:p>
        </w:tc>
        <w:tc>
          <w:tcPr>
            <w:tcW w:type="dxa" w:w="3312"/>
          </w:tcPr>
          <w:p>
            <w:r/>
            <w:r>
              <w:rPr>
                <w:b/>
                <w:color w:val="0A1A3D"/>
                <w:sz w:val="18"/>
              </w:rPr>
              <w:t>PER-ITEM STATUS</w:t>
            </w:r>
          </w:p>
        </w:tc>
        <w:tc>
          <w:tcPr>
            <w:tcW w:type="dxa" w:w="3312"/>
          </w:tcPr>
          <w:p>
            <w:r/>
            <w:r>
              <w:rPr>
                <w:b w:val="0"/>
                <w:color w:val="32425C"/>
                <w:sz w:val="18"/>
              </w:rPr>
              <w:t>Live register at ryedore.com/security</w:t>
            </w:r>
          </w:p>
        </w:tc>
      </w:tr>
    </w:tbl>
    <w:p>
      <w:r>
        <w:rPr>
          <w:b w:val="0"/>
          <w:i w:val="0"/>
          <w:color w:val="32425C"/>
          <w:sz w:val="22"/>
        </w:rPr>
      </w:r>
    </w:p>
    <w:p>
      <w:pPr>
        <w:pStyle w:val="Heading1"/>
      </w:pPr>
      <w:r>
        <w:rPr>
          <w:b/>
          <w:color w:val="0A1A3D"/>
        </w:rPr>
        <w:t>Appendix C — Document Control</w:t>
      </w:r>
    </w:p>
    <w:tbl>
      <w:tblPr>
        <w:tblStyle w:val="LightGrid-Accent1"/>
        <w:tblW w:type="auto" w:w="0"/>
        <w:tblLook w:firstColumn="1" w:firstRow="1" w:lastColumn="0" w:lastRow="0" w:noHBand="0" w:noVBand="1" w:val="04A0"/>
      </w:tblPr>
      <w:tblGrid>
        <w:gridCol w:w="3312"/>
        <w:gridCol w:w="3312"/>
        <w:gridCol w:w="3312"/>
      </w:tblGrid>
      <w:tr>
        <w:tc>
          <w:tcPr>
            <w:tcW w:type="dxa" w:w="3312"/>
            <w:shd w:val="clear" w:color="auto" w:fill="E8EAF1"/>
          </w:tcPr>
          <w:p>
            <w:r>
              <w:rPr>
                <w:b/>
                <w:color w:val="0A1A3D"/>
                <w:sz w:val="22"/>
              </w:rPr>
              <w:t>Version</w:t>
            </w:r>
          </w:p>
        </w:tc>
        <w:tc>
          <w:tcPr>
            <w:tcW w:type="dxa" w:w="3312"/>
            <w:shd w:val="clear" w:color="auto" w:fill="E8EAF1"/>
          </w:tcPr>
          <w:p>
            <w:r>
              <w:rPr>
                <w:b/>
                <w:color w:val="0A1A3D"/>
                <w:sz w:val="22"/>
              </w:rPr>
              <w:t>Date</w:t>
            </w:r>
          </w:p>
        </w:tc>
        <w:tc>
          <w:tcPr>
            <w:tcW w:type="dxa" w:w="3312"/>
            <w:shd w:val="clear" w:color="auto" w:fill="E8EAF1"/>
          </w:tcPr>
          <w:p>
            <w:r>
              <w:rPr>
                <w:b/>
                <w:color w:val="0A1A3D"/>
                <w:sz w:val="22"/>
              </w:rPr>
              <w:t>Changes</w:t>
            </w:r>
          </w:p>
        </w:tc>
      </w:tr>
      <w:tr>
        <w:tc>
          <w:tcPr>
            <w:tcW w:type="dxa" w:w="3312"/>
          </w:tcPr>
          <w:p>
            <w:r/>
            <w:r>
              <w:rPr>
                <w:b/>
                <w:color w:val="32425C"/>
                <w:sz w:val="18"/>
              </w:rPr>
              <w:t>3.1</w:t>
            </w:r>
          </w:p>
        </w:tc>
        <w:tc>
          <w:tcPr>
            <w:tcW w:type="dxa" w:w="3312"/>
          </w:tcPr>
          <w:p>
            <w:r/>
            <w:r>
              <w:rPr>
                <w:b w:val="0"/>
                <w:color w:val="32425C"/>
                <w:sz w:val="18"/>
              </w:rPr>
              <w:t>2026-09-02</w:t>
            </w:r>
          </w:p>
        </w:tc>
        <w:tc>
          <w:tcPr>
            <w:tcW w:type="dxa" w:w="3312"/>
          </w:tcPr>
          <w:p>
            <w:r/>
            <w:r>
              <w:rPr>
                <w:b w:val="0"/>
                <w:color w:val="32425C"/>
                <w:sz w:val="18"/>
              </w:rPr>
              <w:t>Initial customer-facing whitepaper for the v3.1 document set.</w:t>
            </w:r>
          </w:p>
        </w:tc>
      </w:tr>
      <w:tr>
        <w:tc>
          <w:tcPr>
            <w:tcW w:type="dxa" w:w="3312"/>
          </w:tcPr>
          <w:p>
            <w:r/>
            <w:r>
              <w:rPr>
                <w:b/>
                <w:color w:val="32425C"/>
                <w:sz w:val="18"/>
              </w:rPr>
              <w:t>3.2</w:t>
            </w:r>
          </w:p>
        </w:tc>
        <w:tc>
          <w:tcPr>
            <w:tcW w:type="dxa" w:w="3312"/>
          </w:tcPr>
          <w:p>
            <w:r/>
            <w:r>
              <w:rPr>
                <w:b w:val="0"/>
                <w:color w:val="32425C"/>
                <w:sz w:val="18"/>
              </w:rPr>
              <w:t>2026-09-17</w:t>
            </w:r>
          </w:p>
        </w:tc>
        <w:tc>
          <w:tcPr>
            <w:tcW w:type="dxa" w:w="3312"/>
          </w:tcPr>
          <w:p>
            <w:r/>
            <w:r>
              <w:rPr>
                <w:b w:val="0"/>
                <w:color w:val="32425C"/>
                <w:sz w:val="18"/>
              </w:rPr>
              <w:t>Added Verifiable-by-Design and Energy &amp; Sustainability sections; removed an unmeasured time-to-value claim and a 'pilot' engagement phase; provenance labels added to industry figures.</w:t>
            </w:r>
          </w:p>
        </w:tc>
      </w:tr>
      <w:tr>
        <w:tc>
          <w:tcPr>
            <w:tcW w:type="dxa" w:w="3312"/>
          </w:tcPr>
          <w:p>
            <w:r/>
            <w:r>
              <w:rPr>
                <w:b/>
                <w:color w:val="32425C"/>
                <w:sz w:val="18"/>
              </w:rPr>
              <w:t>3.3</w:t>
            </w:r>
          </w:p>
        </w:tc>
        <w:tc>
          <w:tcPr>
            <w:tcW w:type="dxa" w:w="3312"/>
          </w:tcPr>
          <w:p>
            <w:r/>
            <w:r>
              <w:rPr>
                <w:b w:val="0"/>
                <w:color w:val="32425C"/>
                <w:sz w:val="18"/>
              </w:rPr>
              <w:t>2026-09-17</w:t>
            </w:r>
          </w:p>
        </w:tc>
        <w:tc>
          <w:tcPr>
            <w:tcW w:type="dxa" w:w="3312"/>
          </w:tcPr>
          <w:p>
            <w:r/>
            <w:r>
              <w:rPr>
                <w:b w:val="0"/>
                <w:color w:val="32425C"/>
                <w:sz w:val="18"/>
              </w:rPr>
              <w:t>Added Ryekronix containment architecture, energy measurement-and-verification methodology, Known Limitations, Standards &amp; Governance Posture, and Appendices A-C; document now published with hash and detached signature.</w:t>
            </w:r>
          </w:p>
        </w:tc>
      </w:tr>
      <w:tr>
        <w:tc>
          <w:tcPr>
            <w:tcW w:type="dxa" w:w="3312"/>
          </w:tcPr>
          <w:p>
            <w:r/>
            <w:r>
              <w:rPr>
                <w:b/>
                <w:color w:val="32425C"/>
                <w:sz w:val="18"/>
              </w:rPr>
              <w:t>3.4</w:t>
            </w:r>
          </w:p>
        </w:tc>
        <w:tc>
          <w:tcPr>
            <w:tcW w:type="dxa" w:w="3312"/>
          </w:tcPr>
          <w:p>
            <w:r/>
            <w:r>
              <w:rPr>
                <w:b w:val="0"/>
                <w:color w:val="32425C"/>
                <w:sz w:val="18"/>
              </w:rPr>
              <w:t>2026-09-18</w:t>
            </w:r>
          </w:p>
        </w:tc>
        <w:tc>
          <w:tcPr>
            <w:tcW w:type="dxa" w:w="3312"/>
          </w:tcPr>
          <w:p>
            <w:r/>
            <w:r>
              <w:rPr>
                <w:b w:val="0"/>
                <w:color w:val="32425C"/>
                <w:sz w:val="18"/>
              </w:rPr>
              <w:t>Energy commitments named as measures (specific energy consumption, energy drift, M&amp;V-adjusted avoided waste; customer-supplied tariff and carbon-intensity inputs; explicit never-claims). Action-gate field-audit finding and repair disclosed. Cross-reference to the signed Ryedore Governance Model.</w:t>
            </w:r>
          </w:p>
        </w:tc>
      </w:tr>
    </w:tbl>
    <w:p>
      <w:r>
        <w:rPr>
          <w:b w:val="0"/>
          <w:i w:val="0"/>
          <w:color w:val="32425C"/>
          <w:sz w:val="22"/>
        </w:rPr>
      </w:r>
    </w:p>
    <w:p>
      <w:r>
        <w:rPr>
          <w:b/>
          <w:i w:val="0"/>
          <w:color w:val="0A1A3D"/>
          <w:sz w:val="26"/>
        </w:rPr>
        <w:t>Contact</w:t>
      </w:r>
    </w:p>
    <w:p>
      <w:r>
        <w:rPr>
          <w:b w:val="0"/>
          <w:i w:val="0"/>
          <w:color w:val="32425C"/>
          <w:sz w:val="22"/>
        </w:rPr>
        <w:t>enquiry@ryedore.com</w:t>
      </w:r>
    </w:p>
    <w:p>
      <w:r>
        <w:rPr>
          <w:b w:val="0"/>
          <w:i w:val="0"/>
          <w:color w:val="32425C"/>
          <w:sz w:val="22"/>
        </w:rPr>
        <w:t>ryedore.com</w:t>
      </w:r>
    </w:p>
    <w:p>
      <w:r>
        <w:rPr>
          <w:b w:val="0"/>
          <w:i w:val="0"/>
          <w:color w:val="32425C"/>
          <w:sz w:val="22"/>
        </w:rPr>
      </w:r>
    </w:p>
    <w:p>
      <w:pPr>
        <w:jc w:val="center"/>
      </w:pPr>
      <w:r>
        <w:rPr>
          <w:b w:val="0"/>
          <w:i/>
          <w:color w:val="6B7280"/>
          <w:sz w:val="18"/>
        </w:rPr>
        <w:t>© Ryedore Inc. This whitepaper aligns with Ryedore Pricing v3.1. All commercial figures are list prices subject to final solution-architecture review and standard contract terms.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